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E9ACE">
      <w:pPr>
        <w:widowControl/>
        <w:shd w:val="clear" w:color="auto" w:fill="FFFFFF"/>
        <w:adjustRightInd w:val="0"/>
        <w:snapToGrid w:val="0"/>
        <w:spacing w:line="500" w:lineRule="exact"/>
        <w:rPr>
          <w:rFonts w:ascii="Times New Roman" w:hAnsi="Times New Roman" w:eastAsia="仿宋_GB2312" w:cs="Times New Roman"/>
          <w:color w:val="000000"/>
          <w:kern w:val="0"/>
          <w:sz w:val="28"/>
          <w:szCs w:val="28"/>
        </w:rPr>
      </w:pPr>
      <w:bookmarkStart w:id="18" w:name="_GoBack"/>
      <w:bookmarkEnd w:id="18"/>
      <w:r>
        <w:rPr>
          <w:rFonts w:ascii="Times New Roman" w:hAnsi="Times New Roman" w:eastAsia="仿宋_GB2312" w:cs="Times New Roman"/>
          <w:color w:val="000000"/>
          <w:kern w:val="0"/>
          <w:sz w:val="28"/>
          <w:szCs w:val="28"/>
        </w:rPr>
        <w:t>附件1</w:t>
      </w:r>
    </w:p>
    <w:p w14:paraId="5715CE91">
      <w:pPr>
        <w:spacing w:line="520" w:lineRule="exact"/>
        <w:jc w:val="center"/>
        <w:rPr>
          <w:rFonts w:ascii="Times New Roman" w:hAnsi="Times New Roman" w:eastAsia="华文中宋" w:cs="Times New Roman"/>
          <w:b/>
          <w:bCs/>
          <w:sz w:val="36"/>
          <w:szCs w:val="36"/>
        </w:rPr>
      </w:pPr>
      <w:r>
        <w:rPr>
          <w:rFonts w:ascii="Times New Roman" w:hAnsi="Times New Roman" w:eastAsia="华文中宋" w:cs="Times New Roman"/>
          <w:b/>
          <w:bCs/>
          <w:sz w:val="36"/>
          <w:szCs w:val="36"/>
        </w:rPr>
        <w:t>2026年度“两个行动计划”课题招标指南</w:t>
      </w:r>
    </w:p>
    <w:p w14:paraId="7AA262B8">
      <w:pPr>
        <w:pStyle w:val="10"/>
        <w:widowControl/>
        <w:numPr>
          <w:ilvl w:val="0"/>
          <w:numId w:val="1"/>
        </w:numPr>
        <w:spacing w:before="156" w:beforeLines="50" w:line="360" w:lineRule="auto"/>
        <w:ind w:firstLineChars="0"/>
        <w:outlineLvl w:val="1"/>
        <w:rPr>
          <w:rFonts w:ascii="黑体" w:hAnsi="黑体" w:eastAsia="黑体" w:cs="Times New Roman"/>
          <w:b/>
          <w:bCs/>
          <w:kern w:val="0"/>
          <w:sz w:val="32"/>
          <w:szCs w:val="32"/>
        </w:rPr>
      </w:pPr>
      <w:r>
        <w:rPr>
          <w:rFonts w:ascii="黑体" w:hAnsi="黑体" w:eastAsia="黑体" w:cs="Times New Roman"/>
          <w:b/>
          <w:bCs/>
          <w:kern w:val="0"/>
          <w:sz w:val="32"/>
          <w:szCs w:val="32"/>
        </w:rPr>
        <w:t>服务财税行动计划</w:t>
      </w:r>
    </w:p>
    <w:p w14:paraId="42B22913">
      <w:pPr>
        <w:widowControl/>
        <w:shd w:val="clear" w:color="auto" w:fill="FFFFFF"/>
        <w:spacing w:line="600" w:lineRule="exact"/>
        <w:ind w:firstLine="560" w:firstLineChars="200"/>
        <w:outlineLvl w:val="2"/>
        <w:rPr>
          <w:rFonts w:ascii="Times New Roman" w:hAnsi="Times New Roman" w:eastAsia="宋体" w:cs="Times New Roman"/>
          <w:b/>
          <w:sz w:val="28"/>
          <w:szCs w:val="28"/>
        </w:rPr>
      </w:pPr>
      <w:bookmarkStart w:id="0" w:name="OLE_LINK1"/>
      <w:bookmarkStart w:id="1" w:name="OLE_LINK2"/>
      <w:bookmarkStart w:id="2" w:name="OLE_LINK3"/>
      <w:r>
        <w:rPr>
          <w:rFonts w:ascii="Times New Roman" w:hAnsi="Times New Roman" w:eastAsia="黑体" w:cs="Times New Roman"/>
          <w:sz w:val="28"/>
          <w:szCs w:val="32"/>
        </w:rPr>
        <w:t>课题一、</w:t>
      </w:r>
      <w:r>
        <w:rPr>
          <w:rFonts w:hint="eastAsia" w:ascii="Times New Roman" w:hAnsi="Times New Roman" w:eastAsia="黑体" w:cs="Times New Roman"/>
          <w:sz w:val="28"/>
          <w:szCs w:val="32"/>
        </w:rPr>
        <w:t>数字经济时代的税收治理</w:t>
      </w:r>
    </w:p>
    <w:p w14:paraId="41DEA0C2">
      <w:pPr>
        <w:snapToGrid w:val="0"/>
        <w:spacing w:line="600" w:lineRule="exact"/>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税收治理正从工业时代的</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属地管户</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迈向数字时代的</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数据治税</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，制度创新与技术创新必须协同推进。</w:t>
      </w:r>
      <w:r>
        <w:rPr>
          <w:rFonts w:hint="eastAsia" w:ascii="Times New Roman" w:hAnsi="Times New Roman" w:eastAsia="仿宋" w:cs="Times New Roman"/>
          <w:color w:val="000000" w:themeColor="text1"/>
          <w:sz w:val="28"/>
          <w:szCs w:val="28"/>
          <w14:textFill>
            <w14:solidFill>
              <w14:schemeClr w14:val="tx1"/>
            </w14:solidFill>
          </w14:textFill>
        </w:rPr>
        <w:t>本课题聚焦推动数字经济新形态下传统税制和征管模式适应性改革，应对当前在线化、数据要素化、平台化、跨界融合化等趋势对税收管辖认定、税基界定、征管适用等带来的挑战。在梳理当前国际国内有益探索实践情况的基础上，提出新时期税制改革、优化征管方式和对接国际税制治理的系统性方案，为促进数字经济高质量发展、构建现代税收体系提供理论支撑与政策工具储备。</w:t>
      </w:r>
    </w:p>
    <w:bookmarkEnd w:id="0"/>
    <w:bookmarkEnd w:id="1"/>
    <w:bookmarkEnd w:id="2"/>
    <w:p w14:paraId="46A1CB74">
      <w:pPr>
        <w:widowControl/>
        <w:shd w:val="clear" w:color="auto" w:fill="FFFFFF"/>
        <w:spacing w:line="600" w:lineRule="exact"/>
        <w:ind w:firstLine="560" w:firstLineChars="200"/>
        <w:outlineLvl w:val="2"/>
        <w:rPr>
          <w:rFonts w:ascii="Times New Roman" w:hAnsi="Times New Roman" w:eastAsia="仿宋" w:cs="Times New Roman"/>
          <w:color w:val="000000" w:themeColor="text1"/>
          <w:sz w:val="28"/>
          <w:szCs w:val="28"/>
          <w14:textFill>
            <w14:solidFill>
              <w14:schemeClr w14:val="tx1"/>
            </w14:solidFill>
          </w14:textFill>
        </w:rPr>
      </w:pPr>
      <w:bookmarkStart w:id="3" w:name="_Toc66690601"/>
      <w:r>
        <w:rPr>
          <w:rFonts w:ascii="Times New Roman" w:hAnsi="Times New Roman" w:eastAsia="黑体" w:cs="Times New Roman"/>
          <w:sz w:val="28"/>
          <w:szCs w:val="32"/>
        </w:rPr>
        <w:t>课题二、</w:t>
      </w:r>
      <w:bookmarkEnd w:id="3"/>
      <w:bookmarkStart w:id="4" w:name="OLE_LINK8"/>
      <w:bookmarkStart w:id="5" w:name="OLE_LINK9"/>
      <w:r>
        <w:rPr>
          <w:rFonts w:ascii="Times New Roman" w:hAnsi="Times New Roman" w:eastAsia="黑体" w:cs="Times New Roman"/>
          <w:sz w:val="28"/>
          <w:szCs w:val="32"/>
        </w:rPr>
        <w:t>数字经济对</w:t>
      </w:r>
      <w:r>
        <w:rPr>
          <w:rFonts w:hint="eastAsia" w:ascii="Times New Roman" w:hAnsi="Times New Roman" w:eastAsia="黑体" w:cs="Times New Roman"/>
          <w:sz w:val="28"/>
          <w:szCs w:val="32"/>
        </w:rPr>
        <w:t>我国</w:t>
      </w:r>
      <w:r>
        <w:rPr>
          <w:rFonts w:ascii="Times New Roman" w:hAnsi="Times New Roman" w:eastAsia="黑体" w:cs="Times New Roman"/>
          <w:sz w:val="28"/>
          <w:szCs w:val="32"/>
        </w:rPr>
        <w:t>就业的影响</w:t>
      </w:r>
      <w:r>
        <w:rPr>
          <w:rFonts w:hint="eastAsia" w:ascii="Times New Roman" w:hAnsi="Times New Roman" w:eastAsia="黑体" w:cs="Times New Roman"/>
          <w:sz w:val="28"/>
          <w:szCs w:val="32"/>
        </w:rPr>
        <w:t>、风险研判与对策建议研究</w:t>
      </w:r>
    </w:p>
    <w:bookmarkEnd w:id="4"/>
    <w:bookmarkEnd w:id="5"/>
    <w:p w14:paraId="2351180C">
      <w:pPr>
        <w:widowControl/>
        <w:shd w:val="clear" w:color="auto" w:fill="FFFFFF"/>
        <w:spacing w:line="600" w:lineRule="exact"/>
        <w:ind w:firstLine="560" w:firstLineChars="200"/>
        <w:outlineLvl w:val="2"/>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数字经济已成为培育新质生产力、推动产业转型升级和塑造发展新动能的重要力量，岗位需求、劳动关系、收入分配格局和社保缴费基础也将发生相应变化，并可能对财政可持续能力产生影响。</w:t>
      </w:r>
      <w:r>
        <w:rPr>
          <w:rFonts w:hint="eastAsia" w:ascii="Times New Roman" w:hAnsi="Times New Roman" w:eastAsia="仿宋" w:cs="Times New Roman"/>
          <w:color w:val="000000" w:themeColor="text1"/>
          <w:sz w:val="28"/>
          <w:szCs w:val="28"/>
          <w14:textFill>
            <w14:solidFill>
              <w14:schemeClr w14:val="tx1"/>
            </w14:solidFill>
          </w14:textFill>
        </w:rPr>
        <w:t>本课题</w:t>
      </w:r>
      <w:r>
        <w:rPr>
          <w:rFonts w:ascii="Times New Roman" w:hAnsi="Times New Roman" w:eastAsia="仿宋" w:cs="Times New Roman"/>
          <w:color w:val="000000" w:themeColor="text1"/>
          <w:sz w:val="28"/>
          <w:szCs w:val="28"/>
          <w14:textFill>
            <w14:solidFill>
              <w14:schemeClr w14:val="tx1"/>
            </w14:solidFill>
          </w14:textFill>
        </w:rPr>
        <w:t>围绕“十五五”时期数字经济发展与就业友好型转型要求，研究数字经济对我国就业格局、就业质量和财政可持续能力的影响，提出促进数字经济发展与高质量充分就业协同推进的对策建议，为“十五五”时期完善就业优先政策、推动产业升级与就业转型良性互动、提升财政和社会保障体系适应能力提供决策支撑。</w:t>
      </w:r>
    </w:p>
    <w:p w14:paraId="01B1162E">
      <w:pPr>
        <w:widowControl/>
        <w:spacing w:before="156" w:beforeLines="50" w:line="360" w:lineRule="auto"/>
        <w:ind w:firstLine="643" w:firstLineChars="200"/>
        <w:outlineLvl w:val="1"/>
        <w:rPr>
          <w:rFonts w:ascii="黑体" w:hAnsi="黑体" w:eastAsia="黑体" w:cs="Times New Roman"/>
          <w:b/>
          <w:bCs/>
          <w:kern w:val="0"/>
          <w:sz w:val="32"/>
          <w:szCs w:val="32"/>
        </w:rPr>
      </w:pPr>
    </w:p>
    <w:p w14:paraId="005A57BE">
      <w:pPr>
        <w:widowControl/>
        <w:spacing w:before="156" w:beforeLines="50" w:line="360" w:lineRule="auto"/>
        <w:ind w:firstLine="643" w:firstLineChars="200"/>
        <w:outlineLvl w:val="1"/>
        <w:rPr>
          <w:rFonts w:ascii="黑体" w:hAnsi="黑体" w:eastAsia="黑体" w:cs="Times New Roman"/>
          <w:b/>
          <w:bCs/>
          <w:kern w:val="0"/>
          <w:sz w:val="32"/>
          <w:szCs w:val="32"/>
        </w:rPr>
      </w:pPr>
      <w:r>
        <w:rPr>
          <w:rFonts w:ascii="黑体" w:hAnsi="黑体" w:eastAsia="黑体" w:cs="Times New Roman"/>
          <w:b/>
          <w:bCs/>
          <w:kern w:val="0"/>
          <w:sz w:val="32"/>
          <w:szCs w:val="32"/>
        </w:rPr>
        <w:t>二、服务上海行动计划</w:t>
      </w:r>
    </w:p>
    <w:p w14:paraId="3A25FC8A">
      <w:pPr>
        <w:widowControl/>
        <w:shd w:val="clear" w:color="auto" w:fill="FFFFFF"/>
        <w:spacing w:line="600" w:lineRule="exact"/>
        <w:ind w:firstLine="560" w:firstLineChars="200"/>
        <w:outlineLvl w:val="2"/>
        <w:rPr>
          <w:rFonts w:ascii="Times New Roman" w:hAnsi="Times New Roman" w:eastAsia="黑体" w:cs="Times New Roman"/>
          <w:sz w:val="28"/>
          <w:szCs w:val="32"/>
        </w:rPr>
      </w:pPr>
      <w:r>
        <w:rPr>
          <w:rFonts w:hint="eastAsia" w:ascii="Times New Roman" w:hAnsi="Times New Roman" w:eastAsia="黑体" w:cs="Times New Roman"/>
          <w:sz w:val="28"/>
          <w:szCs w:val="32"/>
        </w:rPr>
        <w:t>课题一、十五五期间我国和上海智能经济发展研判</w:t>
      </w:r>
    </w:p>
    <w:p w14:paraId="40044821">
      <w:pPr>
        <w:widowControl/>
        <w:shd w:val="clear" w:color="auto" w:fill="FFFFFF"/>
        <w:spacing w:line="600" w:lineRule="exact"/>
        <w:ind w:firstLine="560" w:firstLineChars="200"/>
        <w:outlineLvl w:val="2"/>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智能经济正成为新一轮科技革命和产业变革的重要方向，将深刻影响产业升级、城市治理、就业结构和国际竞争格局。本课题</w:t>
      </w:r>
      <w:r>
        <w:rPr>
          <w:rFonts w:hint="eastAsia" w:ascii="Times New Roman" w:hAnsi="Times New Roman" w:eastAsia="仿宋" w:cs="Times New Roman"/>
          <w:color w:val="000000" w:themeColor="text1"/>
          <w:sz w:val="28"/>
          <w:szCs w:val="28"/>
          <w14:textFill>
            <w14:solidFill>
              <w14:schemeClr w14:val="tx1"/>
            </w14:solidFill>
          </w14:textFill>
        </w:rPr>
        <w:t>系统</w:t>
      </w:r>
      <w:r>
        <w:rPr>
          <w:rFonts w:ascii="Times New Roman" w:hAnsi="Times New Roman" w:eastAsia="仿宋" w:cs="Times New Roman"/>
          <w:color w:val="000000" w:themeColor="text1"/>
          <w:sz w:val="28"/>
          <w:szCs w:val="28"/>
          <w14:textFill>
            <w14:solidFill>
              <w14:schemeClr w14:val="tx1"/>
            </w14:solidFill>
          </w14:textFill>
        </w:rPr>
        <w:t>梳理全球智能经济发展趋势、主要国家和地区战略布局及典型实践，</w:t>
      </w:r>
      <w:r>
        <w:rPr>
          <w:rFonts w:hint="eastAsia" w:ascii="Times New Roman" w:hAnsi="Times New Roman" w:eastAsia="仿宋" w:cs="Times New Roman"/>
          <w:color w:val="000000" w:themeColor="text1"/>
          <w:sz w:val="28"/>
          <w:szCs w:val="28"/>
          <w14:textFill>
            <w14:solidFill>
              <w14:schemeClr w14:val="tx1"/>
            </w14:solidFill>
          </w14:textFill>
        </w:rPr>
        <w:t>综合研判“十五五”期间我国智能经济</w:t>
      </w:r>
      <w:r>
        <w:rPr>
          <w:rFonts w:ascii="Times New Roman" w:hAnsi="Times New Roman" w:eastAsia="仿宋" w:cs="Times New Roman"/>
          <w:color w:val="000000" w:themeColor="text1"/>
          <w:sz w:val="28"/>
          <w:szCs w:val="28"/>
          <w14:textFill>
            <w14:solidFill>
              <w14:schemeClr w14:val="tx1"/>
            </w14:solidFill>
          </w14:textFill>
        </w:rPr>
        <w:t>发展潜力、重点赛道、产业链短板与经济社会综合影响</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重点研究上海与国</w:t>
      </w:r>
      <w:r>
        <w:rPr>
          <w:rFonts w:hint="eastAsia" w:ascii="Times New Roman" w:hAnsi="Times New Roman" w:eastAsia="仿宋" w:cs="Times New Roman"/>
          <w:color w:val="000000" w:themeColor="text1"/>
          <w:sz w:val="28"/>
          <w:szCs w:val="28"/>
          <w14:textFill>
            <w14:solidFill>
              <w14:schemeClr w14:val="tx1"/>
            </w14:solidFill>
          </w14:textFill>
        </w:rPr>
        <w:t>内外</w:t>
      </w:r>
      <w:r>
        <w:rPr>
          <w:rFonts w:ascii="Times New Roman" w:hAnsi="Times New Roman" w:eastAsia="仿宋" w:cs="Times New Roman"/>
          <w:color w:val="000000" w:themeColor="text1"/>
          <w:sz w:val="28"/>
          <w:szCs w:val="28"/>
          <w14:textFill>
            <w14:solidFill>
              <w14:schemeClr w14:val="tx1"/>
            </w14:solidFill>
          </w14:textFill>
        </w:rPr>
        <w:t>先进城市在智能经济领域的差距与比较优势</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评估智能经济对产业结构、企业组织、就业形态、</w:t>
      </w:r>
      <w:r>
        <w:rPr>
          <w:rFonts w:hint="eastAsia" w:ascii="Times New Roman" w:hAnsi="Times New Roman" w:eastAsia="仿宋" w:cs="Times New Roman"/>
          <w:color w:val="000000" w:themeColor="text1"/>
          <w:sz w:val="28"/>
          <w:szCs w:val="28"/>
          <w14:textFill>
            <w14:solidFill>
              <w14:schemeClr w14:val="tx1"/>
            </w14:solidFill>
          </w14:textFill>
        </w:rPr>
        <w:t>风险治理</w:t>
      </w:r>
      <w:r>
        <w:rPr>
          <w:rFonts w:ascii="Times New Roman" w:hAnsi="Times New Roman" w:eastAsia="仿宋" w:cs="Times New Roman"/>
          <w:color w:val="000000" w:themeColor="text1"/>
          <w:sz w:val="28"/>
          <w:szCs w:val="28"/>
          <w14:textFill>
            <w14:solidFill>
              <w14:schemeClr w14:val="tx1"/>
            </w14:solidFill>
          </w14:textFill>
        </w:rPr>
        <w:t>和城市竞争力的影响</w:t>
      </w:r>
      <w:r>
        <w:rPr>
          <w:rFonts w:hint="eastAsia" w:ascii="Times New Roman" w:hAnsi="Times New Roman" w:eastAsia="仿宋" w:cs="Times New Roman"/>
          <w:color w:val="000000" w:themeColor="text1"/>
          <w:sz w:val="28"/>
          <w:szCs w:val="28"/>
          <w14:textFill>
            <w14:solidFill>
              <w14:schemeClr w14:val="tx1"/>
            </w14:solidFill>
          </w14:textFill>
        </w:rPr>
        <w:t>。在此基础上，</w:t>
      </w:r>
      <w:r>
        <w:rPr>
          <w:rFonts w:ascii="Times New Roman" w:hAnsi="Times New Roman" w:eastAsia="仿宋" w:cs="Times New Roman"/>
          <w:color w:val="000000" w:themeColor="text1"/>
          <w:sz w:val="28"/>
          <w:szCs w:val="28"/>
          <w14:textFill>
            <w14:solidFill>
              <w14:schemeClr w14:val="tx1"/>
            </w14:solidFill>
          </w14:textFill>
        </w:rPr>
        <w:t>提出“十五五”期间我国智能经济高质量</w:t>
      </w:r>
      <w:r>
        <w:rPr>
          <w:rFonts w:hint="eastAsia" w:ascii="Times New Roman" w:hAnsi="Times New Roman" w:eastAsia="仿宋" w:cs="Times New Roman"/>
          <w:color w:val="000000" w:themeColor="text1"/>
          <w:sz w:val="28"/>
          <w:szCs w:val="28"/>
          <w14:textFill>
            <w14:solidFill>
              <w14:schemeClr w14:val="tx1"/>
            </w14:solidFill>
          </w14:textFill>
        </w:rPr>
        <w:t>的总体战略框架，</w:t>
      </w:r>
      <w:r>
        <w:rPr>
          <w:rFonts w:ascii="Times New Roman" w:hAnsi="Times New Roman" w:eastAsia="仿宋" w:cs="Times New Roman"/>
          <w:color w:val="000000" w:themeColor="text1"/>
          <w:sz w:val="28"/>
          <w:szCs w:val="28"/>
          <w14:textFill>
            <w14:solidFill>
              <w14:schemeClr w14:val="tx1"/>
            </w14:solidFill>
          </w14:textFill>
        </w:rPr>
        <w:t>以及上海打造智能经济创新高地和应用示范城市的</w:t>
      </w:r>
      <w:r>
        <w:rPr>
          <w:rFonts w:hint="eastAsia" w:ascii="Times New Roman" w:hAnsi="Times New Roman" w:eastAsia="仿宋" w:cs="Times New Roman"/>
          <w:color w:val="000000" w:themeColor="text1"/>
          <w:sz w:val="28"/>
          <w:szCs w:val="28"/>
          <w14:textFill>
            <w14:solidFill>
              <w14:schemeClr w14:val="tx1"/>
            </w14:solidFill>
          </w14:textFill>
        </w:rPr>
        <w:t>重点领域、空间布局与</w:t>
      </w:r>
      <w:r>
        <w:rPr>
          <w:rFonts w:ascii="Times New Roman" w:hAnsi="Times New Roman" w:eastAsia="仿宋" w:cs="Times New Roman"/>
          <w:color w:val="000000" w:themeColor="text1"/>
          <w:sz w:val="28"/>
          <w:szCs w:val="28"/>
          <w14:textFill>
            <w14:solidFill>
              <w14:schemeClr w14:val="tx1"/>
            </w14:solidFill>
          </w14:textFill>
        </w:rPr>
        <w:t>路径举措，形成支持</w:t>
      </w:r>
      <w:bookmarkStart w:id="6" w:name="OLE_LINK17"/>
      <w:bookmarkStart w:id="7" w:name="OLE_LINK16"/>
      <w:r>
        <w:rPr>
          <w:rFonts w:ascii="Times New Roman" w:hAnsi="Times New Roman" w:eastAsia="仿宋" w:cs="Times New Roman"/>
          <w:color w:val="000000" w:themeColor="text1"/>
          <w:sz w:val="28"/>
          <w:szCs w:val="28"/>
          <w14:textFill>
            <w14:solidFill>
              <w14:schemeClr w14:val="tx1"/>
            </w14:solidFill>
          </w14:textFill>
        </w:rPr>
        <w:t>国家</w:t>
      </w:r>
      <w:r>
        <w:rPr>
          <w:rFonts w:hint="eastAsia" w:ascii="Times New Roman" w:hAnsi="Times New Roman" w:eastAsia="仿宋" w:cs="Times New Roman"/>
          <w:color w:val="000000" w:themeColor="text1"/>
          <w:sz w:val="28"/>
          <w:szCs w:val="28"/>
          <w14:textFill>
            <w14:solidFill>
              <w14:schemeClr w14:val="tx1"/>
            </w14:solidFill>
          </w14:textFill>
        </w:rPr>
        <w:t>智能经济</w:t>
      </w:r>
      <w:r>
        <w:rPr>
          <w:rFonts w:ascii="Times New Roman" w:hAnsi="Times New Roman" w:eastAsia="仿宋" w:cs="Times New Roman"/>
          <w:color w:val="000000" w:themeColor="text1"/>
          <w:sz w:val="28"/>
          <w:szCs w:val="28"/>
          <w14:textFill>
            <w14:solidFill>
              <w14:schemeClr w14:val="tx1"/>
            </w14:solidFill>
          </w14:textFill>
        </w:rPr>
        <w:t>战略</w:t>
      </w:r>
      <w:bookmarkEnd w:id="6"/>
      <w:bookmarkEnd w:id="7"/>
      <w:r>
        <w:rPr>
          <w:rFonts w:ascii="Times New Roman" w:hAnsi="Times New Roman" w:eastAsia="仿宋" w:cs="Times New Roman"/>
          <w:color w:val="000000" w:themeColor="text1"/>
          <w:sz w:val="28"/>
          <w:szCs w:val="28"/>
          <w14:textFill>
            <w14:solidFill>
              <w14:schemeClr w14:val="tx1"/>
            </w14:solidFill>
          </w14:textFill>
        </w:rPr>
        <w:t>的系统性政策建议，为加快智能经济高质量发展、培育新质生产力提供决策参考与政策储备。</w:t>
      </w:r>
    </w:p>
    <w:p w14:paraId="1E948C78">
      <w:pPr>
        <w:widowControl/>
        <w:shd w:val="clear" w:color="auto" w:fill="FFFFFF"/>
        <w:spacing w:line="600" w:lineRule="exact"/>
        <w:ind w:firstLine="560" w:firstLineChars="200"/>
        <w:outlineLvl w:val="2"/>
        <w:rPr>
          <w:rFonts w:ascii="Times New Roman" w:hAnsi="Times New Roman" w:eastAsia="黑体" w:cs="Times New Roman"/>
          <w:sz w:val="28"/>
          <w:szCs w:val="32"/>
        </w:rPr>
      </w:pPr>
      <w:r>
        <w:rPr>
          <w:rFonts w:ascii="Times New Roman" w:hAnsi="Times New Roman" w:eastAsia="黑体" w:cs="Times New Roman"/>
          <w:sz w:val="28"/>
          <w:szCs w:val="32"/>
        </w:rPr>
        <w:t>课题</w:t>
      </w:r>
      <w:r>
        <w:rPr>
          <w:rFonts w:hint="eastAsia" w:ascii="Times New Roman" w:hAnsi="Times New Roman" w:eastAsia="黑体" w:cs="Times New Roman"/>
          <w:sz w:val="28"/>
          <w:szCs w:val="32"/>
        </w:rPr>
        <w:t>二</w:t>
      </w:r>
      <w:r>
        <w:rPr>
          <w:rFonts w:ascii="Times New Roman" w:hAnsi="Times New Roman" w:eastAsia="黑体" w:cs="Times New Roman"/>
          <w:sz w:val="28"/>
          <w:szCs w:val="32"/>
        </w:rPr>
        <w:t>、</w:t>
      </w:r>
      <w:bookmarkStart w:id="8" w:name="OLE_LINK7"/>
      <w:bookmarkStart w:id="9" w:name="OLE_LINK6"/>
      <w:r>
        <w:rPr>
          <w:rFonts w:hint="eastAsia" w:ascii="Times New Roman" w:hAnsi="Times New Roman" w:eastAsia="黑体" w:cs="Times New Roman"/>
          <w:sz w:val="28"/>
          <w:szCs w:val="32"/>
        </w:rPr>
        <w:t>上海科技企业综合绩效评价研究</w:t>
      </w:r>
    </w:p>
    <w:bookmarkEnd w:id="8"/>
    <w:bookmarkEnd w:id="9"/>
    <w:p w14:paraId="24DF1E27">
      <w:pPr>
        <w:spacing w:line="600" w:lineRule="exact"/>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加强科技企业创新能力建设，有助于优化区域创新创业生态系统，为区域经济社会高质量发展贡献力量。</w:t>
      </w:r>
      <w:r>
        <w:rPr>
          <w:rFonts w:ascii="Times New Roman" w:hAnsi="Times New Roman" w:eastAsia="仿宋" w:cs="Times New Roman"/>
          <w:color w:val="000000" w:themeColor="text1"/>
          <w:sz w:val="28"/>
          <w:szCs w:val="28"/>
          <w14:textFill>
            <w14:solidFill>
              <w14:schemeClr w14:val="tx1"/>
            </w14:solidFill>
          </w14:textFill>
        </w:rPr>
        <w:t>上海科技企业的评价体系呈现出多维度、多层级的特点，评价目标不同、指标交叉重叠</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评价结果在金融赋能、政策配置等</w:t>
      </w:r>
      <w:r>
        <w:rPr>
          <w:rFonts w:hint="eastAsia" w:ascii="Times New Roman" w:hAnsi="Times New Roman" w:eastAsia="仿宋" w:cs="Times New Roman"/>
          <w:color w:val="000000" w:themeColor="text1"/>
          <w:sz w:val="28"/>
          <w:szCs w:val="28"/>
          <w14:textFill>
            <w14:solidFill>
              <w14:schemeClr w14:val="tx1"/>
            </w14:solidFill>
          </w14:textFill>
        </w:rPr>
        <w:t>领域的</w:t>
      </w:r>
      <w:r>
        <w:rPr>
          <w:rFonts w:ascii="Times New Roman" w:hAnsi="Times New Roman" w:eastAsia="仿宋" w:cs="Times New Roman"/>
          <w:color w:val="000000" w:themeColor="text1"/>
          <w:sz w:val="28"/>
          <w:szCs w:val="28"/>
          <w14:textFill>
            <w14:solidFill>
              <w14:schemeClr w14:val="tx1"/>
            </w14:solidFill>
          </w14:textFill>
        </w:rPr>
        <w:t>应用尚未打通。</w:t>
      </w:r>
      <w:r>
        <w:rPr>
          <w:rFonts w:hint="eastAsia" w:ascii="Times New Roman" w:hAnsi="Times New Roman" w:eastAsia="仿宋" w:cs="Times New Roman"/>
          <w:color w:val="000000" w:themeColor="text1"/>
          <w:sz w:val="28"/>
          <w:szCs w:val="28"/>
          <w14:textFill>
            <w14:solidFill>
              <w14:schemeClr w14:val="tx1"/>
            </w14:solidFill>
          </w14:textFill>
        </w:rPr>
        <w:t>现阶段，</w:t>
      </w:r>
      <w:r>
        <w:rPr>
          <w:rFonts w:ascii="Times New Roman" w:hAnsi="Times New Roman" w:eastAsia="仿宋" w:cs="Times New Roman"/>
          <w:color w:val="000000" w:themeColor="text1"/>
          <w:sz w:val="28"/>
          <w:szCs w:val="28"/>
          <w14:textFill>
            <w14:solidFill>
              <w14:schemeClr w14:val="tx1"/>
            </w14:solidFill>
          </w14:textFill>
        </w:rPr>
        <w:t>亟需构建一套</w:t>
      </w:r>
      <w:r>
        <w:rPr>
          <w:rFonts w:hint="eastAsia" w:ascii="Times New Roman" w:hAnsi="Times New Roman" w:eastAsia="仿宋" w:cs="Times New Roman"/>
          <w:color w:val="000000" w:themeColor="text1"/>
          <w:sz w:val="28"/>
          <w:szCs w:val="28"/>
          <w14:textFill>
            <w14:solidFill>
              <w14:schemeClr w14:val="tx1"/>
            </w14:solidFill>
          </w14:textFill>
        </w:rPr>
        <w:t>与</w:t>
      </w:r>
      <w:r>
        <w:rPr>
          <w:rFonts w:ascii="Times New Roman" w:hAnsi="Times New Roman" w:eastAsia="仿宋" w:cs="Times New Roman"/>
          <w:color w:val="000000" w:themeColor="text1"/>
          <w:sz w:val="28"/>
          <w:szCs w:val="28"/>
          <w14:textFill>
            <w14:solidFill>
              <w14:schemeClr w14:val="tx1"/>
            </w14:solidFill>
          </w14:textFill>
        </w:rPr>
        <w:t>上海科创中心定位</w:t>
      </w:r>
      <w:r>
        <w:rPr>
          <w:rFonts w:hint="eastAsia" w:ascii="Times New Roman" w:hAnsi="Times New Roman" w:eastAsia="仿宋" w:cs="Times New Roman"/>
          <w:color w:val="000000" w:themeColor="text1"/>
          <w:sz w:val="28"/>
          <w:szCs w:val="28"/>
          <w14:textFill>
            <w14:solidFill>
              <w14:schemeClr w14:val="tx1"/>
            </w14:solidFill>
          </w14:textFill>
        </w:rPr>
        <w:t>匹配</w:t>
      </w:r>
      <w:r>
        <w:rPr>
          <w:rFonts w:ascii="Times New Roman" w:hAnsi="Times New Roman" w:eastAsia="仿宋" w:cs="Times New Roman"/>
          <w:color w:val="000000" w:themeColor="text1"/>
          <w:sz w:val="28"/>
          <w:szCs w:val="28"/>
          <w14:textFill>
            <w14:solidFill>
              <w14:schemeClr w14:val="tx1"/>
            </w14:solidFill>
          </w14:textFill>
        </w:rPr>
        <w:t>的综合绩效评价体系。</w:t>
      </w:r>
      <w:r>
        <w:rPr>
          <w:rFonts w:hint="eastAsia" w:ascii="Times New Roman" w:hAnsi="Times New Roman" w:eastAsia="仿宋" w:cs="Times New Roman"/>
          <w:color w:val="000000" w:themeColor="text1"/>
          <w:sz w:val="28"/>
          <w:szCs w:val="28"/>
          <w14:textFill>
            <w14:solidFill>
              <w14:schemeClr w14:val="tx1"/>
            </w14:solidFill>
          </w14:textFill>
        </w:rPr>
        <w:t>本选题深入分析上海科技企业绩效评价体系存在的问题及瓶颈，从体制机制方面探讨深层次原因，形成一套可操作、可落地、可迭代的科技企业综合绩效评价体系，并研究</w:t>
      </w:r>
      <w:r>
        <w:rPr>
          <w:rFonts w:ascii="Times New Roman" w:hAnsi="Times New Roman" w:eastAsia="仿宋" w:cs="Times New Roman"/>
          <w:color w:val="000000" w:themeColor="text1"/>
          <w:sz w:val="28"/>
          <w:szCs w:val="28"/>
          <w14:textFill>
            <w14:solidFill>
              <w14:schemeClr w14:val="tx1"/>
            </w14:solidFill>
          </w14:textFill>
        </w:rPr>
        <w:t>评价结果在科技金融、</w:t>
      </w:r>
      <w:r>
        <w:rPr>
          <w:rFonts w:hint="eastAsia" w:ascii="Times New Roman" w:hAnsi="Times New Roman" w:eastAsia="仿宋" w:cs="Times New Roman"/>
          <w:color w:val="000000" w:themeColor="text1"/>
          <w:sz w:val="28"/>
          <w:szCs w:val="28"/>
          <w14:textFill>
            <w14:solidFill>
              <w14:schemeClr w14:val="tx1"/>
            </w14:solidFill>
          </w14:textFill>
        </w:rPr>
        <w:t>产业</w:t>
      </w:r>
      <w:r>
        <w:rPr>
          <w:rFonts w:ascii="Times New Roman" w:hAnsi="Times New Roman" w:eastAsia="仿宋" w:cs="Times New Roman"/>
          <w:color w:val="000000" w:themeColor="text1"/>
          <w:sz w:val="28"/>
          <w:szCs w:val="28"/>
          <w14:textFill>
            <w14:solidFill>
              <w14:schemeClr w14:val="tx1"/>
            </w14:solidFill>
          </w14:textFill>
        </w:rPr>
        <w:t>政策配置</w:t>
      </w:r>
      <w:r>
        <w:rPr>
          <w:rFonts w:hint="eastAsia" w:ascii="Times New Roman" w:hAnsi="Times New Roman" w:eastAsia="仿宋" w:cs="Times New Roman"/>
          <w:color w:val="000000" w:themeColor="text1"/>
          <w:sz w:val="28"/>
          <w:szCs w:val="28"/>
          <w14:textFill>
            <w14:solidFill>
              <w14:schemeClr w14:val="tx1"/>
            </w14:solidFill>
          </w14:textFill>
        </w:rPr>
        <w:t>等领域</w:t>
      </w:r>
      <w:r>
        <w:rPr>
          <w:rFonts w:ascii="Times New Roman" w:hAnsi="Times New Roman" w:eastAsia="仿宋" w:cs="Times New Roman"/>
          <w:color w:val="000000" w:themeColor="text1"/>
          <w:sz w:val="28"/>
          <w:szCs w:val="28"/>
          <w14:textFill>
            <w14:solidFill>
              <w14:schemeClr w14:val="tx1"/>
            </w14:solidFill>
          </w14:textFill>
        </w:rPr>
        <w:t>的</w:t>
      </w:r>
      <w:r>
        <w:rPr>
          <w:rFonts w:hint="eastAsia" w:ascii="Times New Roman" w:hAnsi="Times New Roman" w:eastAsia="仿宋" w:cs="Times New Roman"/>
          <w:color w:val="000000" w:themeColor="text1"/>
          <w:sz w:val="28"/>
          <w:szCs w:val="28"/>
          <w14:textFill>
            <w14:solidFill>
              <w14:schemeClr w14:val="tx1"/>
            </w14:solidFill>
          </w14:textFill>
        </w:rPr>
        <w:t>应用。</w:t>
      </w:r>
    </w:p>
    <w:p w14:paraId="1E86800C">
      <w:pPr>
        <w:widowControl/>
        <w:shd w:val="clear" w:color="auto" w:fill="FFFFFF"/>
        <w:spacing w:line="600" w:lineRule="exact"/>
        <w:ind w:firstLine="560" w:firstLineChars="200"/>
        <w:outlineLvl w:val="2"/>
        <w:rPr>
          <w:rFonts w:ascii="Times New Roman" w:hAnsi="Times New Roman" w:eastAsia="宋体" w:cs="Times New Roman"/>
          <w:b/>
          <w:sz w:val="28"/>
          <w:szCs w:val="28"/>
        </w:rPr>
      </w:pPr>
      <w:r>
        <w:rPr>
          <w:rFonts w:hint="eastAsia" w:ascii="Times New Roman" w:hAnsi="Times New Roman" w:eastAsia="黑体" w:cs="Times New Roman"/>
          <w:sz w:val="28"/>
          <w:szCs w:val="32"/>
        </w:rPr>
        <w:t>课题三、</w:t>
      </w:r>
      <w:r>
        <w:rPr>
          <w:rFonts w:ascii="Times New Roman" w:hAnsi="Times New Roman" w:eastAsia="黑体" w:cs="Times New Roman"/>
          <w:sz w:val="28"/>
          <w:szCs w:val="32"/>
        </w:rPr>
        <w:t xml:space="preserve"> 上海重点</w:t>
      </w:r>
      <w:r>
        <w:rPr>
          <w:rFonts w:hint="eastAsia" w:ascii="Times New Roman" w:hAnsi="Times New Roman" w:eastAsia="黑体" w:cs="Times New Roman"/>
          <w:sz w:val="28"/>
          <w:szCs w:val="32"/>
        </w:rPr>
        <w:t>领域</w:t>
      </w:r>
      <w:r>
        <w:rPr>
          <w:rFonts w:ascii="Times New Roman" w:hAnsi="Times New Roman" w:eastAsia="黑体" w:cs="Times New Roman"/>
          <w:sz w:val="28"/>
          <w:szCs w:val="32"/>
        </w:rPr>
        <w:t>工业软件</w:t>
      </w:r>
      <w:r>
        <w:rPr>
          <w:rFonts w:hint="eastAsia" w:ascii="Times New Roman" w:hAnsi="Times New Roman" w:eastAsia="黑体" w:cs="Times New Roman"/>
          <w:sz w:val="28"/>
          <w:szCs w:val="32"/>
        </w:rPr>
        <w:t>高质量发展路径与</w:t>
      </w:r>
      <w:r>
        <w:rPr>
          <w:rFonts w:ascii="Times New Roman" w:hAnsi="Times New Roman" w:eastAsia="黑体" w:cs="Times New Roman"/>
          <w:sz w:val="28"/>
          <w:szCs w:val="32"/>
        </w:rPr>
        <w:t>举措研究</w:t>
      </w:r>
    </w:p>
    <w:p w14:paraId="569B4A84">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国际工业软件巨头已经形成以底层几何内核与求解器算法为核心的知识壁垒，国产工业软件长期难以参与行业最佳实践、融入应用生态。本课题系统梳理上海重点领域工业软件的现实情况，厘清国产工业软件提质增效的发力方向与布局路径，分析人工智能技术在工业软件中的应用现状和发展趋势，剖析上海AI+工业软件发展的比较优势和裉节问题。进一步论证云服务赋能工业软件的可行性与布局思路，并针对当前数据治理瓶颈、产业“上云断层”、产品标准化能力不足等问题，结合国内外重点领域工业软件迭代的成功案例，提出</w:t>
      </w:r>
      <w:r>
        <w:rPr>
          <w:rFonts w:ascii="Times New Roman" w:hAnsi="Times New Roman" w:eastAsia="仿宋" w:cs="Times New Roman"/>
          <w:color w:val="000000" w:themeColor="text1"/>
          <w:sz w:val="28"/>
          <w:szCs w:val="28"/>
          <w14:textFill>
            <w14:solidFill>
              <w14:schemeClr w14:val="tx1"/>
            </w14:solidFill>
          </w14:textFill>
        </w:rPr>
        <w:t>上海重点</w:t>
      </w:r>
      <w:r>
        <w:rPr>
          <w:rFonts w:hint="eastAsia" w:ascii="Times New Roman" w:hAnsi="Times New Roman" w:eastAsia="仿宋" w:cs="Times New Roman"/>
          <w:color w:val="000000" w:themeColor="text1"/>
          <w:sz w:val="28"/>
          <w:szCs w:val="28"/>
          <w14:textFill>
            <w14:solidFill>
              <w14:schemeClr w14:val="tx1"/>
            </w14:solidFill>
          </w14:textFill>
        </w:rPr>
        <w:t>领域</w:t>
      </w:r>
      <w:r>
        <w:rPr>
          <w:rFonts w:ascii="Times New Roman" w:hAnsi="Times New Roman" w:eastAsia="仿宋" w:cs="Times New Roman"/>
          <w:color w:val="000000" w:themeColor="text1"/>
          <w:sz w:val="28"/>
          <w:szCs w:val="28"/>
          <w14:textFill>
            <w14:solidFill>
              <w14:schemeClr w14:val="tx1"/>
            </w14:solidFill>
          </w14:textFill>
        </w:rPr>
        <w:t>工业软件</w:t>
      </w:r>
      <w:r>
        <w:rPr>
          <w:rFonts w:hint="eastAsia" w:ascii="Times New Roman" w:hAnsi="Times New Roman" w:eastAsia="仿宋" w:cs="Times New Roman"/>
          <w:color w:val="000000" w:themeColor="text1"/>
          <w:sz w:val="28"/>
          <w:szCs w:val="28"/>
          <w14:textFill>
            <w14:solidFill>
              <w14:schemeClr w14:val="tx1"/>
            </w14:solidFill>
          </w14:textFill>
        </w:rPr>
        <w:t>落地机制与政策建议。</w:t>
      </w:r>
    </w:p>
    <w:p w14:paraId="42DCEF26">
      <w:pPr>
        <w:spacing w:line="600" w:lineRule="exact"/>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黑体" w:cs="Times New Roman"/>
          <w:sz w:val="28"/>
          <w:szCs w:val="32"/>
        </w:rPr>
        <w:t>课题</w:t>
      </w:r>
      <w:r>
        <w:rPr>
          <w:rFonts w:hint="eastAsia" w:ascii="Times New Roman" w:hAnsi="Times New Roman" w:eastAsia="黑体" w:cs="Times New Roman"/>
          <w:sz w:val="28"/>
          <w:szCs w:val="32"/>
        </w:rPr>
        <w:t>四</w:t>
      </w:r>
      <w:r>
        <w:rPr>
          <w:rFonts w:ascii="Times New Roman" w:hAnsi="Times New Roman" w:eastAsia="黑体" w:cs="Times New Roman"/>
          <w:sz w:val="28"/>
          <w:szCs w:val="32"/>
        </w:rPr>
        <w:t>、</w:t>
      </w:r>
      <w:bookmarkStart w:id="10" w:name="OLE_LINK11"/>
      <w:bookmarkStart w:id="11" w:name="OLE_LINK10"/>
      <w:r>
        <w:rPr>
          <w:rFonts w:hint="eastAsia" w:ascii="Times New Roman" w:hAnsi="Times New Roman" w:eastAsia="黑体" w:cs="Times New Roman"/>
          <w:sz w:val="28"/>
          <w:szCs w:val="32"/>
        </w:rPr>
        <w:t>上海创新型小微企业成长路径与梯度培育模式研究</w:t>
      </w:r>
      <w:bookmarkEnd w:id="10"/>
      <w:bookmarkEnd w:id="11"/>
    </w:p>
    <w:p w14:paraId="06829434">
      <w:pPr>
        <w:widowControl/>
        <w:spacing w:line="360" w:lineRule="auto"/>
        <w:ind w:firstLine="560" w:firstLineChars="200"/>
        <w:jc w:val="left"/>
        <w:rPr>
          <w:rFonts w:ascii="宋体" w:hAnsi="宋体" w:eastAsia="宋体" w:cs="宋体"/>
          <w:kern w:val="0"/>
          <w:sz w:val="24"/>
          <w:szCs w:val="24"/>
        </w:rPr>
      </w:pPr>
      <w:r>
        <w:rPr>
          <w:rFonts w:ascii="Times New Roman" w:hAnsi="Times New Roman" w:eastAsia="仿宋" w:cs="Times New Roman"/>
          <w:color w:val="000000" w:themeColor="text1"/>
          <w:sz w:val="28"/>
          <w:szCs w:val="28"/>
          <w14:textFill>
            <w14:solidFill>
              <w14:schemeClr w14:val="tx1"/>
            </w14:solidFill>
          </w14:textFill>
        </w:rPr>
        <w:t>创新型小微企业是技术创新的主体和</w:t>
      </w:r>
      <w:r>
        <w:rPr>
          <w:rFonts w:hint="eastAsia" w:ascii="Times New Roman" w:hAnsi="Times New Roman" w:eastAsia="仿宋" w:cs="Times New Roman"/>
          <w:color w:val="000000" w:themeColor="text1"/>
          <w:sz w:val="28"/>
          <w:szCs w:val="28"/>
          <w14:textFill>
            <w14:solidFill>
              <w14:schemeClr w14:val="tx1"/>
            </w14:solidFill>
          </w14:textFill>
        </w:rPr>
        <w:t>市场</w:t>
      </w:r>
      <w:r>
        <w:rPr>
          <w:rFonts w:ascii="Times New Roman" w:hAnsi="Times New Roman" w:eastAsia="仿宋" w:cs="Times New Roman"/>
          <w:color w:val="000000" w:themeColor="text1"/>
          <w:sz w:val="28"/>
          <w:szCs w:val="28"/>
          <w14:textFill>
            <w14:solidFill>
              <w14:schemeClr w14:val="tx1"/>
            </w14:solidFill>
          </w14:textFill>
        </w:rPr>
        <w:t>活力的源泉</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上海已构建起覆盖企业全生命周期的梯度培育体系。</w:t>
      </w:r>
      <w:r>
        <w:rPr>
          <w:rFonts w:hint="eastAsia" w:ascii="Times New Roman" w:hAnsi="Times New Roman" w:eastAsia="仿宋" w:cs="Times New Roman"/>
          <w:color w:val="000000" w:themeColor="text1"/>
          <w:sz w:val="28"/>
          <w:szCs w:val="28"/>
          <w14:textFill>
            <w14:solidFill>
              <w14:schemeClr w14:val="tx1"/>
            </w14:solidFill>
          </w14:textFill>
        </w:rPr>
        <w:t>本选题梳理上海创新型小微企业的分布领域与创新模式，划分不同成长路径类型，探究影响路径演化的内在机制与演化规律。分析不同发展阶段创新型小微企业的政策需求，构建科学的成效评估指标体系，评估现有政策实施效果，提出上海创新型小微企业梯度培育实践模式改革的政策建议。</w:t>
      </w:r>
    </w:p>
    <w:p w14:paraId="1450C94C">
      <w:pPr>
        <w:spacing w:line="360" w:lineRule="auto"/>
        <w:ind w:firstLine="560" w:firstLineChars="200"/>
        <w:outlineLvl w:val="2"/>
        <w:rPr>
          <w:rFonts w:ascii="Times New Roman" w:hAnsi="Times New Roman" w:eastAsia="黑体" w:cs="Times New Roman"/>
          <w:sz w:val="28"/>
          <w:szCs w:val="32"/>
        </w:rPr>
      </w:pPr>
      <w:r>
        <w:rPr>
          <w:rFonts w:ascii="Times New Roman" w:hAnsi="Times New Roman" w:eastAsia="黑体" w:cs="Times New Roman"/>
          <w:sz w:val="28"/>
          <w:szCs w:val="32"/>
        </w:rPr>
        <w:t>课题</w:t>
      </w:r>
      <w:r>
        <w:rPr>
          <w:rFonts w:hint="eastAsia" w:ascii="Times New Roman" w:hAnsi="Times New Roman" w:eastAsia="黑体" w:cs="Times New Roman"/>
          <w:sz w:val="28"/>
          <w:szCs w:val="32"/>
        </w:rPr>
        <w:t>五</w:t>
      </w:r>
      <w:r>
        <w:rPr>
          <w:rFonts w:ascii="Times New Roman" w:hAnsi="Times New Roman" w:eastAsia="黑体" w:cs="Times New Roman"/>
          <w:sz w:val="28"/>
          <w:szCs w:val="32"/>
        </w:rPr>
        <w:t>、</w:t>
      </w:r>
      <w:r>
        <w:rPr>
          <w:rFonts w:hint="eastAsia" w:ascii="Times New Roman" w:hAnsi="Times New Roman" w:eastAsia="黑体" w:cs="Times New Roman"/>
          <w:sz w:val="28"/>
          <w:szCs w:val="32"/>
        </w:rPr>
        <w:t>耐心资本赋能上海未来产业创新生态研究</w:t>
      </w:r>
    </w:p>
    <w:p w14:paraId="171642EA">
      <w:pPr>
        <w:spacing w:line="360" w:lineRule="auto"/>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在硬科技领域，技术从实验室到产业化往往需要长周期，传统追求“短平快”的市场化资本难以匹配，形成耐心资本缺口。</w:t>
      </w:r>
      <w:bookmarkStart w:id="12" w:name="OLE_LINK13"/>
      <w:r>
        <w:rPr>
          <w:rFonts w:ascii="Times New Roman" w:hAnsi="Times New Roman" w:eastAsia="仿宋" w:cs="Times New Roman"/>
          <w:color w:val="000000" w:themeColor="text1"/>
          <w:sz w:val="28"/>
          <w:szCs w:val="28"/>
          <w14:textFill>
            <w14:solidFill>
              <w14:schemeClr w14:val="tx1"/>
            </w14:solidFill>
          </w14:textFill>
        </w:rPr>
        <w:t>本课题系统</w:t>
      </w:r>
      <w:r>
        <w:rPr>
          <w:rFonts w:hint="eastAsia" w:ascii="Times New Roman" w:hAnsi="Times New Roman" w:eastAsia="仿宋" w:cs="Times New Roman"/>
          <w:color w:val="000000" w:themeColor="text1"/>
          <w:sz w:val="28"/>
          <w:szCs w:val="28"/>
          <w14:textFill>
            <w14:solidFill>
              <w14:schemeClr w14:val="tx1"/>
            </w14:solidFill>
          </w14:textFill>
        </w:rPr>
        <w:t>分析</w:t>
      </w:r>
      <w:r>
        <w:rPr>
          <w:rFonts w:ascii="Times New Roman" w:hAnsi="Times New Roman" w:eastAsia="仿宋" w:cs="Times New Roman"/>
          <w:color w:val="000000" w:themeColor="text1"/>
          <w:sz w:val="28"/>
          <w:szCs w:val="28"/>
          <w14:textFill>
            <w14:solidFill>
              <w14:schemeClr w14:val="tx1"/>
            </w14:solidFill>
          </w14:textFill>
        </w:rPr>
        <w:t>上海未来产业创新生态与耐心资本现状，构建未来产业与耐心资本动态数据库，识别</w:t>
      </w:r>
      <w:r>
        <w:rPr>
          <w:rFonts w:hint="eastAsia" w:ascii="Times New Roman" w:hAnsi="Times New Roman" w:eastAsia="仿宋" w:cs="Times New Roman"/>
          <w:color w:val="000000" w:themeColor="text1"/>
          <w:sz w:val="28"/>
          <w:szCs w:val="28"/>
          <w14:textFill>
            <w14:solidFill>
              <w14:schemeClr w14:val="tx1"/>
            </w14:solidFill>
          </w14:textFill>
        </w:rPr>
        <w:t>创新生态建设的</w:t>
      </w:r>
      <w:r>
        <w:rPr>
          <w:rFonts w:ascii="Times New Roman" w:hAnsi="Times New Roman" w:eastAsia="仿宋" w:cs="Times New Roman"/>
          <w:color w:val="000000" w:themeColor="text1"/>
          <w:sz w:val="28"/>
          <w:szCs w:val="28"/>
          <w14:textFill>
            <w14:solidFill>
              <w14:schemeClr w14:val="tx1"/>
            </w14:solidFill>
          </w14:textFill>
        </w:rPr>
        <w:t>关键瓶颈</w:t>
      </w:r>
      <w:r>
        <w:rPr>
          <w:rFonts w:hint="eastAsia" w:ascii="Times New Roman" w:hAnsi="Times New Roman" w:eastAsia="仿宋" w:cs="Times New Roman"/>
          <w:color w:val="000000" w:themeColor="text1"/>
          <w:sz w:val="28"/>
          <w:szCs w:val="28"/>
          <w14:textFill>
            <w14:solidFill>
              <w14:schemeClr w14:val="tx1"/>
            </w14:solidFill>
          </w14:textFill>
        </w:rPr>
        <w:t>，研究</w:t>
      </w:r>
      <w:r>
        <w:rPr>
          <w:rFonts w:ascii="Times New Roman" w:hAnsi="Times New Roman" w:eastAsia="仿宋" w:cs="Times New Roman"/>
          <w:color w:val="000000" w:themeColor="text1"/>
          <w:sz w:val="28"/>
          <w:szCs w:val="28"/>
          <w14:textFill>
            <w14:solidFill>
              <w14:schemeClr w14:val="tx1"/>
            </w14:solidFill>
          </w14:textFill>
        </w:rPr>
        <w:t>耐心资本赋能创新生态的空间集聚机制</w:t>
      </w:r>
      <w:r>
        <w:rPr>
          <w:rFonts w:hint="eastAsia" w:ascii="Times New Roman" w:hAnsi="Times New Roman" w:eastAsia="仿宋" w:cs="Times New Roman"/>
          <w:color w:val="000000" w:themeColor="text1"/>
          <w:sz w:val="28"/>
          <w:szCs w:val="28"/>
          <w14:textFill>
            <w14:solidFill>
              <w14:schemeClr w14:val="tx1"/>
            </w14:solidFill>
          </w14:textFill>
        </w:rPr>
        <w:t>以及</w:t>
      </w:r>
      <w:r>
        <w:rPr>
          <w:rFonts w:ascii="Times New Roman" w:hAnsi="Times New Roman" w:eastAsia="仿宋" w:cs="Times New Roman"/>
          <w:color w:val="000000" w:themeColor="text1"/>
          <w:sz w:val="28"/>
          <w:szCs w:val="28"/>
          <w14:textFill>
            <w14:solidFill>
              <w14:schemeClr w14:val="tx1"/>
            </w14:solidFill>
          </w14:textFill>
        </w:rPr>
        <w:t>耐心资本全生命周期资金接力与资源协同机制</w:t>
      </w:r>
      <w:r>
        <w:rPr>
          <w:rFonts w:hint="eastAsia" w:ascii="Times New Roman" w:hAnsi="Times New Roman" w:eastAsia="仿宋" w:cs="Times New Roman"/>
          <w:color w:val="000000" w:themeColor="text1"/>
          <w:sz w:val="28"/>
          <w:szCs w:val="28"/>
          <w14:textFill>
            <w14:solidFill>
              <w14:schemeClr w14:val="tx1"/>
            </w14:solidFill>
          </w14:textFill>
        </w:rPr>
        <w:t>，提出</w:t>
      </w:r>
      <w:r>
        <w:rPr>
          <w:rFonts w:ascii="Times New Roman" w:hAnsi="Times New Roman" w:eastAsia="仿宋" w:cs="Times New Roman"/>
          <w:color w:val="000000" w:themeColor="text1"/>
          <w:sz w:val="28"/>
          <w:szCs w:val="28"/>
          <w14:textFill>
            <w14:solidFill>
              <w14:schemeClr w14:val="tx1"/>
            </w14:solidFill>
          </w14:textFill>
        </w:rPr>
        <w:t>上海特色未来产业创新生态体系</w:t>
      </w:r>
      <w:r>
        <w:rPr>
          <w:rFonts w:hint="eastAsia" w:ascii="Times New Roman" w:hAnsi="Times New Roman" w:eastAsia="仿宋" w:cs="Times New Roman"/>
          <w:color w:val="000000" w:themeColor="text1"/>
          <w:sz w:val="28"/>
          <w:szCs w:val="28"/>
          <w14:textFill>
            <w14:solidFill>
              <w14:schemeClr w14:val="tx1"/>
            </w14:solidFill>
          </w14:textFill>
        </w:rPr>
        <w:t>的构建方案</w:t>
      </w:r>
      <w:r>
        <w:rPr>
          <w:rFonts w:ascii="Times New Roman" w:hAnsi="Times New Roman" w:eastAsia="仿宋" w:cs="Times New Roman"/>
          <w:color w:val="000000" w:themeColor="text1"/>
          <w:sz w:val="28"/>
          <w:szCs w:val="28"/>
          <w14:textFill>
            <w14:solidFill>
              <w14:schemeClr w14:val="tx1"/>
            </w14:solidFill>
          </w14:textFill>
        </w:rPr>
        <w:t>。</w:t>
      </w:r>
    </w:p>
    <w:bookmarkEnd w:id="12"/>
    <w:p w14:paraId="64287A7F">
      <w:pPr>
        <w:widowControl/>
        <w:shd w:val="clear" w:color="auto" w:fill="FFFFFF"/>
        <w:spacing w:line="360" w:lineRule="auto"/>
        <w:ind w:firstLine="560" w:firstLineChars="200"/>
        <w:outlineLvl w:val="2"/>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黑体" w:cs="Times New Roman"/>
          <w:sz w:val="28"/>
          <w:szCs w:val="32"/>
        </w:rPr>
        <w:t>课题</w:t>
      </w:r>
      <w:r>
        <w:rPr>
          <w:rFonts w:hint="eastAsia" w:ascii="Times New Roman" w:hAnsi="Times New Roman" w:eastAsia="黑体" w:cs="Times New Roman"/>
          <w:sz w:val="28"/>
          <w:szCs w:val="32"/>
        </w:rPr>
        <w:t>六</w:t>
      </w:r>
      <w:r>
        <w:rPr>
          <w:rFonts w:ascii="Times New Roman" w:hAnsi="Times New Roman" w:eastAsia="黑体" w:cs="Times New Roman"/>
          <w:sz w:val="28"/>
          <w:szCs w:val="32"/>
        </w:rPr>
        <w:t>、</w:t>
      </w:r>
      <w:bookmarkStart w:id="13" w:name="OLE_LINK4"/>
      <w:bookmarkStart w:id="14" w:name="OLE_LINK12"/>
      <w:bookmarkStart w:id="15" w:name="OLE_LINK5"/>
      <w:r>
        <w:rPr>
          <w:rFonts w:hint="eastAsia" w:ascii="Times New Roman" w:hAnsi="Times New Roman" w:eastAsia="黑体" w:cs="Times New Roman"/>
          <w:sz w:val="28"/>
          <w:szCs w:val="32"/>
        </w:rPr>
        <w:t>美国中期选举前后政治、经济、科技动向对我国的影响研究</w:t>
      </w:r>
    </w:p>
    <w:bookmarkEnd w:id="13"/>
    <w:bookmarkEnd w:id="14"/>
    <w:bookmarkEnd w:id="15"/>
    <w:p w14:paraId="2151E168">
      <w:pPr>
        <w:widowControl/>
        <w:shd w:val="clear" w:color="auto" w:fill="FFFFFF"/>
        <w:spacing w:line="360" w:lineRule="auto"/>
        <w:ind w:firstLine="560" w:firstLineChars="200"/>
        <w:outlineLvl w:val="2"/>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美国中期选举是全球政治经济格局的重要变量，其选举结果直接影响美国对华政策走向、科技竞争态势及全球经济治理体系变革。本课题以美国中期选举为时间节点，聚焦政治、经济、科技三条主线，系统梳理选举前后美国政策议程的延续与变革，重点分析两党在科技竞争、产业补贴、贸易政策等领域的分歧与共识，研判新一届国会对华政策的基本取向及其对我国产业链供应链安全的潜在冲击，深入研究其对中国在人工智能、新能源汽车等战略性新兴产业及上海"五个中心"建设的影响机制并提出应对策略，为我国应对复杂国际环境、制定前瞻性对策提供决策参考。</w:t>
      </w:r>
    </w:p>
    <w:p w14:paraId="16F3F318">
      <w:pPr>
        <w:widowControl/>
        <w:shd w:val="clear" w:color="auto" w:fill="FFFFFF"/>
        <w:spacing w:line="360" w:lineRule="auto"/>
        <w:ind w:firstLine="560" w:firstLineChars="200"/>
        <w:outlineLvl w:val="2"/>
        <w:rPr>
          <w:rFonts w:ascii="Times New Roman" w:hAnsi="Times New Roman" w:eastAsia="黑体" w:cs="Times New Roman"/>
          <w:sz w:val="28"/>
          <w:szCs w:val="32"/>
        </w:rPr>
      </w:pPr>
      <w:r>
        <w:rPr>
          <w:rFonts w:hint="eastAsia" w:ascii="Times New Roman" w:hAnsi="Times New Roman" w:eastAsia="黑体" w:cs="Times New Roman"/>
          <w:sz w:val="28"/>
          <w:szCs w:val="32"/>
        </w:rPr>
        <w:t xml:space="preserve">课题七 </w:t>
      </w:r>
      <w:bookmarkStart w:id="16" w:name="OLE_LINK15"/>
      <w:bookmarkStart w:id="17" w:name="OLE_LINK14"/>
      <w:r>
        <w:rPr>
          <w:rFonts w:hint="eastAsia" w:ascii="Times New Roman" w:hAnsi="Times New Roman" w:eastAsia="黑体" w:cs="Times New Roman"/>
          <w:sz w:val="28"/>
          <w:szCs w:val="32"/>
        </w:rPr>
        <w:t>依托新型举国体制推动科技创新与产业升级路径研究</w:t>
      </w:r>
      <w:bookmarkEnd w:id="16"/>
      <w:bookmarkEnd w:id="17"/>
    </w:p>
    <w:p w14:paraId="471F0382">
      <w:pPr>
        <w:spacing w:line="360" w:lineRule="auto"/>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当前部分发达国家面临产业空心化、经济发展内生动力不足、科技与产业转化脱节等突出问题，其传统市场经济模式弊端日益显现。</w:t>
      </w:r>
    </w:p>
    <w:p w14:paraId="28CBEF34">
      <w:pPr>
        <w:widowControl/>
        <w:jc w:val="left"/>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本课题</w:t>
      </w:r>
      <w:r>
        <w:rPr>
          <w:rFonts w:ascii="Times New Roman" w:hAnsi="Times New Roman" w:eastAsia="仿宋" w:cs="Times New Roman"/>
          <w:color w:val="000000" w:themeColor="text1"/>
          <w:sz w:val="28"/>
          <w:szCs w:val="28"/>
          <w14:textFill>
            <w14:solidFill>
              <w14:schemeClr w14:val="tx1"/>
            </w14:solidFill>
          </w14:textFill>
        </w:rPr>
        <w:t>系统剖析发达国家市场经济模式在</w:t>
      </w:r>
      <w:r>
        <w:rPr>
          <w:rFonts w:hint="eastAsia" w:ascii="Times New Roman" w:hAnsi="Times New Roman" w:eastAsia="仿宋" w:cs="Times New Roman"/>
          <w:color w:val="000000" w:themeColor="text1"/>
          <w:sz w:val="28"/>
          <w:szCs w:val="28"/>
          <w14:textFill>
            <w14:solidFill>
              <w14:schemeClr w14:val="tx1"/>
            </w14:solidFill>
          </w14:textFill>
        </w:rPr>
        <w:t>第四次</w:t>
      </w:r>
      <w:r>
        <w:rPr>
          <w:rFonts w:ascii="Times New Roman" w:hAnsi="Times New Roman" w:eastAsia="仿宋" w:cs="Times New Roman"/>
          <w:color w:val="000000" w:themeColor="text1"/>
          <w:sz w:val="28"/>
          <w:szCs w:val="28"/>
          <w14:textFill>
            <w14:solidFill>
              <w14:schemeClr w14:val="tx1"/>
            </w14:solidFill>
          </w14:textFill>
        </w:rPr>
        <w:t>科技革命背景下暴露的结构性困境</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深入阐释中国新型举国体制在推动科技创新与产业升级中的核心机制与显著优势</w:t>
      </w:r>
      <w:r>
        <w:rPr>
          <w:rFonts w:hint="eastAsia" w:ascii="Times New Roman" w:hAnsi="Times New Roman" w:eastAsia="仿宋" w:cs="Times New Roman"/>
          <w:color w:val="000000" w:themeColor="text1"/>
          <w:sz w:val="28"/>
          <w:szCs w:val="28"/>
          <w14:textFill>
            <w14:solidFill>
              <w14:schemeClr w14:val="tx1"/>
            </w14:solidFill>
          </w14:textFill>
        </w:rPr>
        <w:t>，提出有助于</w:t>
      </w:r>
      <w:r>
        <w:rPr>
          <w:rFonts w:ascii="Times New Roman" w:hAnsi="Times New Roman" w:eastAsia="仿宋" w:cs="Times New Roman"/>
          <w:color w:val="000000" w:themeColor="text1"/>
          <w:sz w:val="28"/>
          <w:szCs w:val="28"/>
          <w14:textFill>
            <w14:solidFill>
              <w14:schemeClr w14:val="tx1"/>
            </w14:solidFill>
          </w14:textFill>
        </w:rPr>
        <w:t>完善中国特色社会主义市场经济体制、提升国家创新体系整体效能</w:t>
      </w:r>
      <w:r>
        <w:rPr>
          <w:rFonts w:hint="eastAsia" w:ascii="Times New Roman" w:hAnsi="Times New Roman" w:eastAsia="仿宋" w:cs="Times New Roman"/>
          <w:color w:val="000000" w:themeColor="text1"/>
          <w:sz w:val="28"/>
          <w:szCs w:val="28"/>
          <w14:textFill>
            <w14:solidFill>
              <w14:schemeClr w14:val="tx1"/>
            </w14:solidFill>
          </w14:textFill>
        </w:rPr>
        <w:t>的政策建议。</w:t>
      </w:r>
    </w:p>
    <w:p w14:paraId="6BDC46C8">
      <w:pPr>
        <w:widowControl/>
        <w:shd w:val="clear" w:color="auto" w:fill="FFFFFF"/>
        <w:spacing w:line="360" w:lineRule="auto"/>
        <w:ind w:firstLine="560" w:firstLineChars="200"/>
        <w:outlineLvl w:val="2"/>
        <w:rPr>
          <w:rFonts w:ascii="Times New Roman" w:hAnsi="Times New Roman" w:eastAsia="黑体" w:cs="Times New Roman"/>
          <w:sz w:val="28"/>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
    <w:altName w:val="FFont-Family"/>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DC4530"/>
    <w:multiLevelType w:val="multilevel"/>
    <w:tmpl w:val="24DC4530"/>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916"/>
    <w:rsid w:val="0003028A"/>
    <w:rsid w:val="00052867"/>
    <w:rsid w:val="0011313D"/>
    <w:rsid w:val="0012620B"/>
    <w:rsid w:val="00126A9D"/>
    <w:rsid w:val="001B4C07"/>
    <w:rsid w:val="002121D9"/>
    <w:rsid w:val="0023053C"/>
    <w:rsid w:val="00230F5A"/>
    <w:rsid w:val="00260C7B"/>
    <w:rsid w:val="00293916"/>
    <w:rsid w:val="00296984"/>
    <w:rsid w:val="002C6577"/>
    <w:rsid w:val="002C658C"/>
    <w:rsid w:val="002D120F"/>
    <w:rsid w:val="002E57E4"/>
    <w:rsid w:val="00320518"/>
    <w:rsid w:val="00332107"/>
    <w:rsid w:val="00365158"/>
    <w:rsid w:val="00390612"/>
    <w:rsid w:val="00392D9F"/>
    <w:rsid w:val="0039367B"/>
    <w:rsid w:val="00395147"/>
    <w:rsid w:val="003A52C6"/>
    <w:rsid w:val="003D5BE3"/>
    <w:rsid w:val="003F2025"/>
    <w:rsid w:val="00402D59"/>
    <w:rsid w:val="00427588"/>
    <w:rsid w:val="00446B75"/>
    <w:rsid w:val="0047233F"/>
    <w:rsid w:val="004C78B1"/>
    <w:rsid w:val="004E2734"/>
    <w:rsid w:val="004E6F9F"/>
    <w:rsid w:val="005222AF"/>
    <w:rsid w:val="00524736"/>
    <w:rsid w:val="0054160C"/>
    <w:rsid w:val="005626B2"/>
    <w:rsid w:val="005B12A8"/>
    <w:rsid w:val="006127B4"/>
    <w:rsid w:val="0061363D"/>
    <w:rsid w:val="00613D09"/>
    <w:rsid w:val="006C7B83"/>
    <w:rsid w:val="006F7088"/>
    <w:rsid w:val="007319FF"/>
    <w:rsid w:val="00742D42"/>
    <w:rsid w:val="007B5892"/>
    <w:rsid w:val="007F4391"/>
    <w:rsid w:val="00811B2D"/>
    <w:rsid w:val="00842B58"/>
    <w:rsid w:val="00893C50"/>
    <w:rsid w:val="00895925"/>
    <w:rsid w:val="00896AED"/>
    <w:rsid w:val="008A4F59"/>
    <w:rsid w:val="008D3A25"/>
    <w:rsid w:val="0095195E"/>
    <w:rsid w:val="00982E27"/>
    <w:rsid w:val="009A585B"/>
    <w:rsid w:val="009C2DD7"/>
    <w:rsid w:val="00A159A8"/>
    <w:rsid w:val="00A45755"/>
    <w:rsid w:val="00AB44FD"/>
    <w:rsid w:val="00AC659A"/>
    <w:rsid w:val="00B44306"/>
    <w:rsid w:val="00B72DA0"/>
    <w:rsid w:val="00B94582"/>
    <w:rsid w:val="00BB0ECA"/>
    <w:rsid w:val="00BB4260"/>
    <w:rsid w:val="00BF7DAD"/>
    <w:rsid w:val="00C04F8F"/>
    <w:rsid w:val="00C2125C"/>
    <w:rsid w:val="00C25D41"/>
    <w:rsid w:val="00C30DAB"/>
    <w:rsid w:val="00C96602"/>
    <w:rsid w:val="00CD5DC9"/>
    <w:rsid w:val="00CD5EE8"/>
    <w:rsid w:val="00D16FDD"/>
    <w:rsid w:val="00D4221E"/>
    <w:rsid w:val="00D6161E"/>
    <w:rsid w:val="00DA3A14"/>
    <w:rsid w:val="00DE3130"/>
    <w:rsid w:val="00DE4DD3"/>
    <w:rsid w:val="00E83EF6"/>
    <w:rsid w:val="00EA4703"/>
    <w:rsid w:val="00F25A23"/>
    <w:rsid w:val="00F43A50"/>
    <w:rsid w:val="00F47E62"/>
    <w:rsid w:val="00F61934"/>
    <w:rsid w:val="00FE05C9"/>
    <w:rsid w:val="00FE16D5"/>
    <w:rsid w:val="00FE173B"/>
    <w:rsid w:val="15640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semiHidden/>
    <w:unhideWhenUsed/>
    <w:uiPriority w:val="99"/>
    <w:rPr>
      <w:sz w:val="18"/>
      <w:szCs w:val="18"/>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字符"/>
    <w:basedOn w:val="7"/>
    <w:link w:val="4"/>
    <w:uiPriority w:val="99"/>
    <w:rPr>
      <w:sz w:val="18"/>
      <w:szCs w:val="18"/>
    </w:rPr>
  </w:style>
  <w:style w:type="character" w:customStyle="1" w:styleId="9">
    <w:name w:val="页脚 字符"/>
    <w:basedOn w:val="7"/>
    <w:link w:val="3"/>
    <w:uiPriority w:val="99"/>
    <w:rPr>
      <w:sz w:val="18"/>
      <w:szCs w:val="18"/>
    </w:rPr>
  </w:style>
  <w:style w:type="paragraph" w:styleId="10">
    <w:name w:val="List Paragraph"/>
    <w:basedOn w:val="1"/>
    <w:qFormat/>
    <w:uiPriority w:val="34"/>
    <w:pPr>
      <w:ind w:firstLine="420" w:firstLineChars="200"/>
    </w:pPr>
  </w:style>
  <w:style w:type="character" w:customStyle="1" w:styleId="11">
    <w:name w:val="批注框文本 字符"/>
    <w:basedOn w:val="7"/>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2276</Words>
  <Characters>2281</Characters>
  <Lines>16</Lines>
  <Paragraphs>4</Paragraphs>
  <TotalTime>324</TotalTime>
  <ScaleCrop>false</ScaleCrop>
  <LinksUpToDate>false</LinksUpToDate>
  <CharactersWithSpaces>2283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2021-03-23T05:40:00Z</dcterms:created>
  <dc:creator>Wang</dc:creator>
  <cp:lastModifiedBy>bo</cp:lastModifiedBy>
  <cp:lastPrinted>2023-07-11T05:32:00Z</cp:lastPrinted>
  <dcterms:modified xsi:type="dcterms:W3CDTF">2026-09-11T07:33:14Z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4D4485F312E24FFFAAB5C1FD0697109E_13</vt:lpwstr>
  </property>
</Properties>
</file>