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C88DC">
      <w:pPr>
        <w:jc w:val="center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年“两个行动计划”课题立项公示</w:t>
      </w:r>
    </w:p>
    <w:p w14:paraId="204D67E8">
      <w:pPr>
        <w:spacing w:line="360" w:lineRule="auto"/>
        <w:ind w:firstLine="42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经过前期面向上级部门、全校范围内的选题征集，并通过校内外专家评审遴选，各有</w:t>
      </w:r>
      <w:r>
        <w:rPr>
          <w:rFonts w:hint="eastAsia" w:ascii="仿宋" w:hAnsi="仿宋" w:eastAsia="仿宋" w:cs="仿宋"/>
          <w:lang w:val="en-US" w:eastAsia="zh-CN"/>
        </w:rPr>
        <w:t>1</w:t>
      </w:r>
      <w:r>
        <w:rPr>
          <w:rFonts w:hint="eastAsia" w:ascii="仿宋" w:hAnsi="仿宋" w:eastAsia="仿宋" w:cs="仿宋"/>
        </w:rPr>
        <w:t>项重点课题、</w:t>
      </w:r>
      <w:r>
        <w:rPr>
          <w:rFonts w:hint="eastAsia" w:ascii="仿宋" w:hAnsi="仿宋" w:eastAsia="仿宋" w:cs="仿宋"/>
          <w:lang w:val="en-US" w:eastAsia="zh-CN"/>
        </w:rPr>
        <w:t>8</w:t>
      </w:r>
      <w:r>
        <w:rPr>
          <w:rFonts w:hint="eastAsia" w:ascii="仿宋" w:hAnsi="仿宋" w:eastAsia="仿宋" w:cs="仿宋"/>
        </w:rPr>
        <w:t>项</w:t>
      </w:r>
      <w:r>
        <w:rPr>
          <w:rFonts w:hint="eastAsia" w:ascii="仿宋" w:hAnsi="仿宋" w:eastAsia="仿宋" w:cs="仿宋"/>
          <w:lang w:val="en-US" w:eastAsia="zh-CN"/>
        </w:rPr>
        <w:t>一般</w:t>
      </w:r>
      <w:r>
        <w:rPr>
          <w:rFonts w:hint="eastAsia" w:ascii="仿宋" w:hAnsi="仿宋" w:eastAsia="仿宋" w:cs="仿宋"/>
        </w:rPr>
        <w:t>课题纳入202</w:t>
      </w:r>
      <w:r>
        <w:rPr>
          <w:rFonts w:hint="eastAsia" w:ascii="仿宋" w:hAnsi="仿宋" w:eastAsia="仿宋" w:cs="仿宋"/>
          <w:lang w:val="en-US" w:eastAsia="zh-CN"/>
        </w:rPr>
        <w:t>6</w:t>
      </w:r>
      <w:r>
        <w:rPr>
          <w:rFonts w:hint="eastAsia" w:ascii="仿宋" w:hAnsi="仿宋" w:eastAsia="仿宋" w:cs="仿宋"/>
        </w:rPr>
        <w:t>年度“服务财税事业行动计划”和“服务上海行动计划”。</w:t>
      </w:r>
    </w:p>
    <w:p w14:paraId="13AFFE7E">
      <w:pPr>
        <w:spacing w:line="360" w:lineRule="auto"/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</w:rPr>
        <w:t>“两个行动计划”课题面向全校范围进行招标，秉持“以课题指南为准绳，以研究质量为导向”的原则，经评审专家对投标课题评审，遴选出</w:t>
      </w:r>
      <w:r>
        <w:rPr>
          <w:rFonts w:hint="eastAsia" w:ascii="仿宋" w:hAnsi="仿宋" w:eastAsia="仿宋" w:cs="仿宋"/>
          <w:lang w:val="en-US" w:eastAsia="zh-CN"/>
        </w:rPr>
        <w:t>9</w:t>
      </w:r>
      <w:r>
        <w:rPr>
          <w:rFonts w:hint="eastAsia" w:ascii="仿宋" w:hAnsi="仿宋" w:eastAsia="仿宋" w:cs="仿宋"/>
        </w:rPr>
        <w:t>个中标团队，现予以公示，名单如下。</w:t>
      </w:r>
      <w:r>
        <w:rPr>
          <w:rFonts w:hint="eastAsia" w:ascii="仿宋" w:hAnsi="仿宋" w:eastAsia="仿宋" w:cs="仿宋"/>
          <w:lang w:val="en-US" w:eastAsia="zh-CN"/>
        </w:rPr>
        <w:tab/>
      </w:r>
    </w:p>
    <w:tbl>
      <w:tblPr>
        <w:tblStyle w:val="4"/>
        <w:tblW w:w="612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12"/>
        <w:gridCol w:w="1121"/>
        <w:gridCol w:w="5417"/>
        <w:gridCol w:w="952"/>
        <w:gridCol w:w="2236"/>
      </w:tblGrid>
      <w:tr w14:paraId="7F80CF71">
        <w:trPr>
          <w:trHeight w:val="397" w:hRule="atLeast"/>
          <w:jc w:val="center"/>
        </w:trPr>
        <w:tc>
          <w:tcPr>
            <w:tcW w:w="341" w:type="pct"/>
            <w:vAlign w:val="center"/>
          </w:tcPr>
          <w:p w14:paraId="052CDA18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537" w:type="pct"/>
            <w:vAlign w:val="center"/>
          </w:tcPr>
          <w:p w14:paraId="2EF2E182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595" w:type="pct"/>
            <w:vAlign w:val="center"/>
          </w:tcPr>
          <w:p w14:paraId="61CCA1E8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56" w:type="pct"/>
            <w:vAlign w:val="center"/>
          </w:tcPr>
          <w:p w14:paraId="1458DFB0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vertAlign w:val="baseline"/>
                <w:lang w:val="en-US" w:eastAsia="zh-CN"/>
              </w:rPr>
              <w:t>负责人</w:t>
            </w:r>
          </w:p>
        </w:tc>
        <w:tc>
          <w:tcPr>
            <w:tcW w:w="1068" w:type="pct"/>
            <w:vAlign w:val="center"/>
          </w:tcPr>
          <w:p w14:paraId="14EEE0DA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vertAlign w:val="baseline"/>
                <w:lang w:val="en-US" w:eastAsia="zh-CN"/>
              </w:rPr>
              <w:t>所在单位</w:t>
            </w:r>
          </w:p>
        </w:tc>
      </w:tr>
      <w:tr w14:paraId="16A12BF8">
        <w:trPr>
          <w:trHeight w:val="397" w:hRule="atLeast"/>
          <w:jc w:val="center"/>
        </w:trPr>
        <w:tc>
          <w:tcPr>
            <w:tcW w:w="5000" w:type="pct"/>
            <w:gridSpan w:val="5"/>
            <w:vAlign w:val="center"/>
          </w:tcPr>
          <w:p w14:paraId="3DE7FC20">
            <w:pPr>
              <w:pStyle w:val="7"/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1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一般课题</w:t>
            </w:r>
          </w:p>
        </w:tc>
      </w:tr>
      <w:tr w14:paraId="14C996DD">
        <w:trPr>
          <w:trHeight w:val="397" w:hRule="atLeast"/>
          <w:jc w:val="center"/>
        </w:trPr>
        <w:tc>
          <w:tcPr>
            <w:tcW w:w="341" w:type="pct"/>
            <w:vAlign w:val="center"/>
          </w:tcPr>
          <w:p w14:paraId="3540805E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1</w:t>
            </w:r>
          </w:p>
        </w:tc>
        <w:tc>
          <w:tcPr>
            <w:tcW w:w="537" w:type="pct"/>
            <w:vMerge w:val="restart"/>
            <w:vAlign w:val="center"/>
          </w:tcPr>
          <w:p w14:paraId="5B53B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服务财税</w:t>
            </w:r>
          </w:p>
        </w:tc>
        <w:tc>
          <w:tcPr>
            <w:tcW w:w="2595" w:type="pct"/>
            <w:vAlign w:val="center"/>
          </w:tcPr>
          <w:p w14:paraId="623A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数字经济时代的税收治理</w:t>
            </w:r>
          </w:p>
        </w:tc>
        <w:tc>
          <w:tcPr>
            <w:tcW w:w="456" w:type="pct"/>
            <w:vAlign w:val="center"/>
          </w:tcPr>
          <w:p w14:paraId="6534F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田志伟</w:t>
            </w:r>
          </w:p>
        </w:tc>
        <w:tc>
          <w:tcPr>
            <w:tcW w:w="1068" w:type="pct"/>
            <w:vAlign w:val="center"/>
          </w:tcPr>
          <w:p w14:paraId="529D4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公共政策与治理研究院</w:t>
            </w:r>
          </w:p>
        </w:tc>
      </w:tr>
      <w:tr w14:paraId="3C424BCE">
        <w:trPr>
          <w:trHeight w:val="397" w:hRule="atLeast"/>
          <w:jc w:val="center"/>
        </w:trPr>
        <w:tc>
          <w:tcPr>
            <w:tcW w:w="341" w:type="pct"/>
            <w:vAlign w:val="center"/>
          </w:tcPr>
          <w:p w14:paraId="2E3FD7D5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2</w:t>
            </w:r>
          </w:p>
        </w:tc>
        <w:tc>
          <w:tcPr>
            <w:tcW w:w="537" w:type="pct"/>
            <w:vMerge w:val="continue"/>
            <w:tcBorders/>
            <w:vAlign w:val="center"/>
          </w:tcPr>
          <w:p w14:paraId="27F91B3C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2595" w:type="pct"/>
            <w:vAlign w:val="center"/>
          </w:tcPr>
          <w:p w14:paraId="3AE372F3">
            <w:pPr>
              <w:jc w:val="both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数字经济对我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国就业的影响、风险研判与对策建议研究</w:t>
            </w:r>
          </w:p>
        </w:tc>
        <w:tc>
          <w:tcPr>
            <w:tcW w:w="456" w:type="pct"/>
            <w:vAlign w:val="center"/>
          </w:tcPr>
          <w:p w14:paraId="441EC411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解咪</w:t>
            </w:r>
          </w:p>
        </w:tc>
        <w:tc>
          <w:tcPr>
            <w:tcW w:w="1068" w:type="pct"/>
            <w:vAlign w:val="center"/>
          </w:tcPr>
          <w:p w14:paraId="5FD66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全球南方财经研究院</w:t>
            </w:r>
          </w:p>
        </w:tc>
      </w:tr>
      <w:tr w14:paraId="1F6C43D3">
        <w:trPr>
          <w:trHeight w:val="397" w:hRule="atLeast"/>
          <w:jc w:val="center"/>
        </w:trPr>
        <w:tc>
          <w:tcPr>
            <w:tcW w:w="341" w:type="pct"/>
            <w:shd w:val="clear"/>
            <w:vAlign w:val="center"/>
          </w:tcPr>
          <w:p w14:paraId="60BBA952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1</w:t>
            </w:r>
          </w:p>
        </w:tc>
        <w:tc>
          <w:tcPr>
            <w:tcW w:w="537" w:type="pct"/>
            <w:vMerge w:val="restart"/>
            <w:shd w:val="clear"/>
            <w:vAlign w:val="center"/>
          </w:tcPr>
          <w:p w14:paraId="333A9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服务上海</w:t>
            </w:r>
          </w:p>
        </w:tc>
        <w:tc>
          <w:tcPr>
            <w:tcW w:w="2595" w:type="pct"/>
            <w:shd w:val="clear"/>
            <w:vAlign w:val="center"/>
          </w:tcPr>
          <w:p w14:paraId="679A4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上海科技企业综合绩效评价研究</w:t>
            </w:r>
          </w:p>
        </w:tc>
        <w:tc>
          <w:tcPr>
            <w:tcW w:w="456" w:type="pct"/>
            <w:shd w:val="clear"/>
            <w:vAlign w:val="center"/>
          </w:tcPr>
          <w:p w14:paraId="0BBC7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周亚虹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737DB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outlineLvl w:val="1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经济学院</w:t>
            </w:r>
          </w:p>
        </w:tc>
      </w:tr>
      <w:tr w14:paraId="0A2F04C8">
        <w:trPr>
          <w:trHeight w:val="397" w:hRule="atLeast"/>
          <w:jc w:val="center"/>
        </w:trPr>
        <w:tc>
          <w:tcPr>
            <w:tcW w:w="341" w:type="pct"/>
            <w:shd w:val="clear"/>
            <w:vAlign w:val="center"/>
          </w:tcPr>
          <w:p w14:paraId="6105AAC6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2</w:t>
            </w:r>
          </w:p>
        </w:tc>
        <w:tc>
          <w:tcPr>
            <w:tcW w:w="537" w:type="pct"/>
            <w:vMerge w:val="continue"/>
            <w:tcBorders/>
            <w:shd w:val="clear"/>
            <w:vAlign w:val="center"/>
          </w:tcPr>
          <w:p w14:paraId="1C748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2595" w:type="pct"/>
            <w:shd w:val="clear"/>
            <w:vAlign w:val="center"/>
          </w:tcPr>
          <w:p w14:paraId="4507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上海重点领域工业软件高质量发展路径与举措研究</w:t>
            </w:r>
          </w:p>
        </w:tc>
        <w:tc>
          <w:tcPr>
            <w:tcW w:w="456" w:type="pct"/>
            <w:shd w:val="clear"/>
            <w:vAlign w:val="center"/>
          </w:tcPr>
          <w:p w14:paraId="6C2DC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徐乐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444CB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outlineLvl w:val="1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上海发展研究院</w:t>
            </w:r>
          </w:p>
        </w:tc>
      </w:tr>
      <w:tr w14:paraId="7FA1DC0D">
        <w:trPr>
          <w:trHeight w:val="397" w:hRule="atLeast"/>
          <w:jc w:val="center"/>
        </w:trPr>
        <w:tc>
          <w:tcPr>
            <w:tcW w:w="341" w:type="pct"/>
            <w:shd w:val="clear"/>
            <w:vAlign w:val="center"/>
          </w:tcPr>
          <w:p w14:paraId="5D90F6F7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3</w:t>
            </w:r>
          </w:p>
        </w:tc>
        <w:tc>
          <w:tcPr>
            <w:tcW w:w="537" w:type="pct"/>
            <w:vMerge w:val="continue"/>
            <w:tcBorders/>
            <w:shd w:val="clear"/>
            <w:vAlign w:val="center"/>
          </w:tcPr>
          <w:p w14:paraId="70CEA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2595" w:type="pct"/>
            <w:shd w:val="clear"/>
            <w:vAlign w:val="center"/>
          </w:tcPr>
          <w:p w14:paraId="026C0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上海创新型小微企业成长路径与梯度培育模式研究</w:t>
            </w:r>
          </w:p>
        </w:tc>
        <w:tc>
          <w:tcPr>
            <w:tcW w:w="456" w:type="pct"/>
            <w:shd w:val="clear"/>
            <w:vAlign w:val="center"/>
          </w:tcPr>
          <w:p w14:paraId="62B7C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王开</w:t>
            </w:r>
          </w:p>
        </w:tc>
        <w:tc>
          <w:tcPr>
            <w:tcW w:w="1068" w:type="pct"/>
            <w:shd w:val="clear"/>
            <w:vAlign w:val="center"/>
          </w:tcPr>
          <w:p w14:paraId="41859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outlineLvl w:val="1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中国式现代化研究院</w:t>
            </w:r>
          </w:p>
        </w:tc>
      </w:tr>
      <w:tr w14:paraId="68F1D88A">
        <w:trPr>
          <w:trHeight w:val="397" w:hRule="atLeast"/>
          <w:jc w:val="center"/>
        </w:trPr>
        <w:tc>
          <w:tcPr>
            <w:tcW w:w="341" w:type="pct"/>
            <w:shd w:val="clear"/>
            <w:vAlign w:val="center"/>
          </w:tcPr>
          <w:p w14:paraId="7962D34B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4</w:t>
            </w:r>
          </w:p>
        </w:tc>
        <w:tc>
          <w:tcPr>
            <w:tcW w:w="537" w:type="pct"/>
            <w:vMerge w:val="continue"/>
            <w:tcBorders/>
            <w:shd w:val="clear"/>
            <w:vAlign w:val="center"/>
          </w:tcPr>
          <w:p w14:paraId="34838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2595" w:type="pct"/>
            <w:shd w:val="clear"/>
            <w:vAlign w:val="center"/>
          </w:tcPr>
          <w:p w14:paraId="72519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耐心资本赋能上海未来产业创新生态研究</w:t>
            </w:r>
          </w:p>
        </w:tc>
        <w:tc>
          <w:tcPr>
            <w:tcW w:w="456" w:type="pct"/>
            <w:shd w:val="clear"/>
            <w:vAlign w:val="center"/>
          </w:tcPr>
          <w:p w14:paraId="2B8DB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周照</w:t>
            </w:r>
          </w:p>
        </w:tc>
        <w:tc>
          <w:tcPr>
            <w:tcW w:w="1068" w:type="pct"/>
            <w:shd w:val="clear"/>
            <w:vAlign w:val="center"/>
          </w:tcPr>
          <w:p w14:paraId="13EFB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outlineLvl w:val="1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商学院</w:t>
            </w:r>
          </w:p>
        </w:tc>
      </w:tr>
      <w:tr w14:paraId="01A29E79">
        <w:trPr>
          <w:trHeight w:val="397" w:hRule="atLeast"/>
          <w:jc w:val="center"/>
        </w:trPr>
        <w:tc>
          <w:tcPr>
            <w:tcW w:w="341" w:type="pct"/>
            <w:shd w:val="clear"/>
            <w:vAlign w:val="center"/>
          </w:tcPr>
          <w:p w14:paraId="0B710D50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5</w:t>
            </w:r>
          </w:p>
        </w:tc>
        <w:tc>
          <w:tcPr>
            <w:tcW w:w="537" w:type="pct"/>
            <w:vMerge w:val="continue"/>
            <w:tcBorders/>
            <w:shd w:val="clear"/>
            <w:vAlign w:val="center"/>
          </w:tcPr>
          <w:p w14:paraId="20F8B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2595" w:type="pct"/>
            <w:shd w:val="clear"/>
            <w:vAlign w:val="center"/>
          </w:tcPr>
          <w:p w14:paraId="26EA0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美国中期选举前后政治、经济、科技动向对我国的影响研究</w:t>
            </w:r>
          </w:p>
        </w:tc>
        <w:tc>
          <w:tcPr>
            <w:tcW w:w="456" w:type="pct"/>
            <w:shd w:val="clear"/>
            <w:vAlign w:val="center"/>
          </w:tcPr>
          <w:p w14:paraId="49FB8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辛格</w:t>
            </w:r>
          </w:p>
        </w:tc>
        <w:tc>
          <w:tcPr>
            <w:tcW w:w="1068" w:type="pct"/>
            <w:shd w:val="clear"/>
            <w:vAlign w:val="center"/>
          </w:tcPr>
          <w:p w14:paraId="4DA87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outlineLvl w:val="1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公共管理学院</w:t>
            </w:r>
          </w:p>
        </w:tc>
      </w:tr>
      <w:tr w14:paraId="4EBFA065">
        <w:trPr>
          <w:trHeight w:val="397" w:hRule="atLeast"/>
          <w:jc w:val="center"/>
        </w:trPr>
        <w:tc>
          <w:tcPr>
            <w:tcW w:w="341" w:type="pct"/>
            <w:shd w:val="clear"/>
            <w:vAlign w:val="center"/>
          </w:tcPr>
          <w:p w14:paraId="69EC4DFC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6</w:t>
            </w:r>
          </w:p>
        </w:tc>
        <w:tc>
          <w:tcPr>
            <w:tcW w:w="537" w:type="pct"/>
            <w:vMerge w:val="continue"/>
            <w:tcBorders/>
            <w:shd w:val="clear"/>
            <w:vAlign w:val="center"/>
          </w:tcPr>
          <w:p w14:paraId="17898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2595" w:type="pct"/>
            <w:shd w:val="clear"/>
            <w:vAlign w:val="center"/>
          </w:tcPr>
          <w:p w14:paraId="6FADE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依托新型举国体制推动科技创新与产业升级路径研究</w:t>
            </w:r>
          </w:p>
        </w:tc>
        <w:tc>
          <w:tcPr>
            <w:tcW w:w="456" w:type="pct"/>
            <w:shd w:val="clear"/>
            <w:vAlign w:val="center"/>
          </w:tcPr>
          <w:p w14:paraId="28280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牛志勇</w:t>
            </w:r>
          </w:p>
        </w:tc>
        <w:tc>
          <w:tcPr>
            <w:tcW w:w="1068" w:type="pct"/>
            <w:shd w:val="clear"/>
            <w:vAlign w:val="center"/>
          </w:tcPr>
          <w:p w14:paraId="0ED6E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outlineLvl w:val="1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上海发展研究院</w:t>
            </w:r>
          </w:p>
        </w:tc>
      </w:tr>
      <w:tr w14:paraId="4A6F8EF4">
        <w:trPr>
          <w:trHeight w:val="397" w:hRule="atLeast"/>
          <w:jc w:val="center"/>
        </w:trPr>
        <w:tc>
          <w:tcPr>
            <w:tcW w:w="5000" w:type="pct"/>
            <w:gridSpan w:val="5"/>
            <w:shd w:val="clear"/>
            <w:vAlign w:val="center"/>
          </w:tcPr>
          <w:p w14:paraId="7F785144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outlineLvl w:val="1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重点课题</w:t>
            </w:r>
          </w:p>
        </w:tc>
      </w:tr>
      <w:tr w14:paraId="6AA3CFC0">
        <w:trPr>
          <w:trHeight w:val="397" w:hRule="atLeast"/>
          <w:jc w:val="center"/>
        </w:trPr>
        <w:tc>
          <w:tcPr>
            <w:tcW w:w="341" w:type="pct"/>
            <w:shd w:val="clear"/>
            <w:vAlign w:val="center"/>
          </w:tcPr>
          <w:p w14:paraId="2B29B018">
            <w:pPr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1</w:t>
            </w:r>
          </w:p>
        </w:tc>
        <w:tc>
          <w:tcPr>
            <w:tcW w:w="537" w:type="pct"/>
            <w:shd w:val="clear"/>
            <w:vAlign w:val="center"/>
          </w:tcPr>
          <w:p w14:paraId="48D49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服务上海</w:t>
            </w:r>
          </w:p>
        </w:tc>
        <w:tc>
          <w:tcPr>
            <w:tcW w:w="2595" w:type="pct"/>
            <w:shd w:val="clear"/>
            <w:vAlign w:val="center"/>
          </w:tcPr>
          <w:p w14:paraId="4ED09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十五五期间我国和上海智能经济发展研判</w:t>
            </w:r>
          </w:p>
        </w:tc>
        <w:tc>
          <w:tcPr>
            <w:tcW w:w="456" w:type="pct"/>
            <w:shd w:val="clear"/>
            <w:vAlign w:val="center"/>
          </w:tcPr>
          <w:p w14:paraId="5FCCB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丁浩员</w:t>
            </w:r>
          </w:p>
        </w:tc>
        <w:tc>
          <w:tcPr>
            <w:tcW w:w="1068" w:type="pct"/>
            <w:shd w:val="clear"/>
            <w:vAlign w:val="center"/>
          </w:tcPr>
          <w:p w14:paraId="78D81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outlineLvl w:val="1"/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vertAlign w:val="baseline"/>
                <w:lang w:val="en-US" w:eastAsia="zh-CN" w:bidi="ar-SA"/>
                <w14:ligatures w14:val="none"/>
              </w:rPr>
              <w:t>全球南方财经研究院、商学院</w:t>
            </w:r>
          </w:p>
        </w:tc>
      </w:tr>
    </w:tbl>
    <w:p w14:paraId="33CE67CC">
      <w:pPr>
        <w:spacing w:line="360" w:lineRule="auto"/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公示期为5个工作日，如有异议，请向中国式现代化研究院反映。</w:t>
      </w:r>
    </w:p>
    <w:p w14:paraId="2E892A5D">
      <w:pPr>
        <w:spacing w:line="360" w:lineRule="auto"/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联系人：吴一平</w:t>
      </w:r>
    </w:p>
    <w:p w14:paraId="219A9F11">
      <w:pPr>
        <w:spacing w:line="360" w:lineRule="auto"/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邮箱：wu.yiping@shufe.edu.cn</w:t>
      </w:r>
    </w:p>
    <w:p w14:paraId="64FDEA1E">
      <w:pPr>
        <w:spacing w:line="360" w:lineRule="auto"/>
        <w:ind w:left="5460" w:leftChars="0" w:firstLine="660" w:firstLineChars="275"/>
        <w:jc w:val="distribute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中国式现代化研究院</w:t>
      </w:r>
    </w:p>
    <w:p w14:paraId="38B59275">
      <w:pPr>
        <w:spacing w:line="360" w:lineRule="auto"/>
        <w:ind w:left="5880" w:leftChars="0" w:firstLine="420" w:firstLineChars="0"/>
        <w:jc w:val="center"/>
        <w:rPr>
          <w:rFonts w:hint="eastAsia" w:ascii="仿宋" w:hAnsi="仿宋" w:eastAsia="仿宋" w:cs="仿宋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lang w:val="en-US" w:eastAsia="zh-CN"/>
        </w:rPr>
        <w:t>2026年10月6日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PingFang SC Regular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 Neue Regular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Heiti T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STHeiti Light">
    <w:panose1 w:val="02010600040101010101"/>
    <w:charset w:val="86"/>
    <w:family w:val="auto"/>
    <w:pitch w:val="default"/>
    <w:sig w:usb0="00000287" w:usb1="080F0000" w:usb2="00000000" w:usb3="00000000" w:csb0="00040001" w:csb1="00000000"/>
  </w:font>
  <w:font w:name="仿宋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7BFA935"/>
    <w:rsid w:val="3FFF4C5C"/>
    <w:rsid w:val="66BE4A97"/>
    <w:rsid w:val="D7BFA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宋体" w:hAnsi="宋体" w:eastAsia="宋体" w:cs="宋体"/>
      <w:kern w:val="0"/>
      <w:sz w:val="24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widowControl w:val="0"/>
      <w:spacing w:before="480" w:after="80" w:line="278" w:lineRule="auto"/>
      <w:jc w:val="center"/>
      <w:outlineLvl w:val="0"/>
    </w:pPr>
    <w:rPr>
      <w:rFonts w:eastAsia="黑体" w:asciiTheme="majorAscii" w:hAnsiTheme="majorAscii" w:cstheme="majorBidi"/>
      <w:color w:val="2E54A1" w:themeColor="accent1" w:themeShade="BF"/>
      <w:kern w:val="2"/>
      <w:sz w:val="30"/>
      <w:szCs w:val="48"/>
      <w14:ligatures w14:val="standardContextual"/>
    </w:rPr>
  </w:style>
  <w:style w:type="character" w:default="1" w:styleId="5">
    <w:name w:val="Default Paragraph Font"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1 字符"/>
    <w:basedOn w:val="5"/>
    <w:link w:val="2"/>
    <w:uiPriority w:val="9"/>
    <w:rPr>
      <w:rFonts w:eastAsia="黑体" w:asciiTheme="majorAscii" w:hAnsiTheme="majorAscii" w:cstheme="majorBidi"/>
      <w:color w:val="2E54A1" w:themeColor="accent1" w:themeShade="BF"/>
      <w:sz w:val="30"/>
      <w:szCs w:val="4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2026-10-05T21:05:00Z</dcterms:created>
  <dc:creator>lwx</dc:creator>
  <cp:lastModifiedBy>lwx</cp:lastModifiedBy>
  <dcterms:modified xsi:type="dcterms:W3CDTF">2026-10-05T22:12:30Z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7DB8D264ABD4D1E3AFA0C36AF282FA10_41</vt:lpwstr>
  </property>
</Properties>
</file>